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42" w:rsidRDefault="00266129">
      <w:pPr>
        <w:rPr>
          <w:b/>
        </w:rPr>
      </w:pPr>
      <w:r w:rsidRPr="00850242">
        <w:rPr>
          <w:b/>
        </w:rPr>
        <w:t xml:space="preserve">IV STRATEGY FOR </w:t>
      </w:r>
      <w:r w:rsidR="00915567">
        <w:rPr>
          <w:b/>
        </w:rPr>
        <w:t>THE YEAR …………….</w:t>
      </w:r>
      <w:r w:rsidR="007079D9">
        <w:rPr>
          <w:b/>
        </w:rPr>
        <w:t xml:space="preserve">                   REVIEWED ON </w:t>
      </w:r>
      <w:r w:rsidR="007079D9" w:rsidRPr="007079D9">
        <w:rPr>
          <w:color w:val="00B0F0"/>
        </w:rPr>
        <w:t>(DATE TO BE ENTERED HERE)</w:t>
      </w:r>
    </w:p>
    <w:p w:rsidR="007B26D7" w:rsidRDefault="007843BF" w:rsidP="00504A83">
      <w:pPr>
        <w:spacing w:line="240" w:lineRule="auto"/>
      </w:pPr>
      <w:r>
        <w:t xml:space="preserve">This </w:t>
      </w:r>
      <w:r w:rsidR="007B26D7">
        <w:t>i</w:t>
      </w:r>
      <w:r>
        <w:t xml:space="preserve">nternal </w:t>
      </w:r>
      <w:r w:rsidR="007B26D7">
        <w:t>v</w:t>
      </w:r>
      <w:r>
        <w:t xml:space="preserve">erification </w:t>
      </w:r>
      <w:r w:rsidR="007B26D7">
        <w:t>s</w:t>
      </w:r>
      <w:r>
        <w:t>trategy defines the activity taking place within the centre to internally monitor the quality of the IMI Awards qualifications/accreditations</w:t>
      </w:r>
      <w:r w:rsidR="007079D9">
        <w:t>/QAA programmes</w:t>
      </w:r>
      <w:r w:rsidR="00821BA1">
        <w:t xml:space="preserve"> used</w:t>
      </w:r>
      <w:r w:rsidR="007B26D7">
        <w:t>.</w:t>
      </w:r>
    </w:p>
    <w:p w:rsidR="00DC0015" w:rsidRDefault="00504A83" w:rsidP="00504A83">
      <w:pPr>
        <w:spacing w:line="240" w:lineRule="auto"/>
      </w:pPr>
      <w:r>
        <w:t xml:space="preserve">This document </w:t>
      </w:r>
      <w:r w:rsidR="00DC0015">
        <w:t xml:space="preserve">should be used in conjunction with </w:t>
      </w:r>
      <w:r w:rsidR="007843BF">
        <w:t xml:space="preserve">the assessment strategies for each of the </w:t>
      </w:r>
      <w:r w:rsidR="007B26D7">
        <w:t xml:space="preserve">qualifications/accreditations </w:t>
      </w:r>
      <w:r w:rsidR="007843BF">
        <w:t>assessed and</w:t>
      </w:r>
      <w:r w:rsidR="00E07A67">
        <w:t xml:space="preserve"> the guidance within the IMI Awards operating manual.  </w:t>
      </w:r>
    </w:p>
    <w:p w:rsidR="007843BF" w:rsidRDefault="007843BF" w:rsidP="00504A83">
      <w:pPr>
        <w:spacing w:line="240" w:lineRule="auto"/>
      </w:pPr>
      <w:r>
        <w:t>Internal verification should focus on the safety, fairness, validity and reliability of assessment decisions</w:t>
      </w:r>
      <w:r w:rsidR="00DC0015">
        <w:t>. This should include</w:t>
      </w:r>
      <w:r>
        <w:t xml:space="preserve"> </w:t>
      </w:r>
      <w:r w:rsidR="00DC0015">
        <w:t xml:space="preserve">monitoring </w:t>
      </w:r>
      <w:r>
        <w:t>across the range of assessment methods</w:t>
      </w:r>
      <w:r w:rsidR="00DC0015">
        <w:t xml:space="preserve"> and locations/</w:t>
      </w:r>
      <w:r w:rsidR="00821BA1">
        <w:t>environments used</w:t>
      </w:r>
      <w:r>
        <w:t xml:space="preserve"> by each assessor.  </w:t>
      </w:r>
    </w:p>
    <w:p w:rsidR="00E07A67" w:rsidRDefault="00821BA1" w:rsidP="00504A83">
      <w:pPr>
        <w:spacing w:line="240" w:lineRule="auto"/>
      </w:pPr>
      <w:r>
        <w:t>T</w:t>
      </w:r>
      <w:r w:rsidR="00E07A67">
        <w:t>he IMI Awards operating manual</w:t>
      </w:r>
      <w:r>
        <w:t xml:space="preserve"> and</w:t>
      </w:r>
      <w:r w:rsidR="00E07A67">
        <w:t xml:space="preserve"> this strategy should be applied using the following forms: - </w:t>
      </w:r>
    </w:p>
    <w:p w:rsidR="00E07A67" w:rsidRDefault="00E07A67" w:rsidP="00504A83">
      <w:pPr>
        <w:spacing w:line="240" w:lineRule="auto"/>
      </w:pPr>
      <w:r>
        <w:t xml:space="preserve">Form </w:t>
      </w:r>
      <w:r w:rsidR="007B26D7">
        <w:t>24</w:t>
      </w:r>
      <w:r>
        <w:t xml:space="preserve"> – </w:t>
      </w:r>
      <w:r w:rsidR="007B26D7">
        <w:t xml:space="preserve">Assessor </w:t>
      </w:r>
      <w:r>
        <w:t xml:space="preserve">Risk Assessment </w:t>
      </w:r>
      <w:r w:rsidR="007B26D7">
        <w:t>(</w:t>
      </w:r>
      <w:r>
        <w:t>for each assessor</w:t>
      </w:r>
      <w:r w:rsidR="007B26D7">
        <w:t>)</w:t>
      </w:r>
      <w:r>
        <w:t xml:space="preserve"> </w:t>
      </w:r>
    </w:p>
    <w:p w:rsidR="00E07A67" w:rsidRDefault="00E54C5C" w:rsidP="00504A83">
      <w:pPr>
        <w:spacing w:line="240" w:lineRule="auto"/>
      </w:pPr>
      <w:r>
        <w:t xml:space="preserve">Form 25 </w:t>
      </w:r>
      <w:r w:rsidR="007B26D7">
        <w:t>–</w:t>
      </w:r>
      <w:r w:rsidR="00E07A67">
        <w:t xml:space="preserve"> Internal Verification</w:t>
      </w:r>
      <w:r w:rsidR="00DC0015">
        <w:t xml:space="preserve"> Sampling Plan </w:t>
      </w:r>
    </w:p>
    <w:p w:rsidR="007843BF" w:rsidRPr="007843BF" w:rsidRDefault="00E07A67" w:rsidP="00504A83">
      <w:pPr>
        <w:spacing w:line="240" w:lineRule="auto"/>
      </w:pPr>
      <w:proofErr w:type="gramStart"/>
      <w:r>
        <w:t xml:space="preserve">Form </w:t>
      </w:r>
      <w:r w:rsidR="007B26D7">
        <w:t xml:space="preserve">28 </w:t>
      </w:r>
      <w:r>
        <w:t xml:space="preserve">– </w:t>
      </w:r>
      <w:r w:rsidR="00DC0015">
        <w:t xml:space="preserve">Report on Assessment Decisions </w:t>
      </w:r>
      <w:r w:rsidR="00CD5014">
        <w:t xml:space="preserve">and </w:t>
      </w:r>
      <w:r w:rsidR="007B26D7">
        <w:t>A</w:t>
      </w:r>
      <w:r w:rsidR="00CD5014">
        <w:t xml:space="preserve">ssessor </w:t>
      </w:r>
      <w:r w:rsidR="007B26D7">
        <w:t>O</w:t>
      </w:r>
      <w:r w:rsidR="00CD5014">
        <w:t>bservations.</w:t>
      </w:r>
      <w:proofErr w:type="gramEnd"/>
      <w:r w:rsidR="00DC0015">
        <w:t xml:space="preserve"> </w:t>
      </w:r>
    </w:p>
    <w:p w:rsidR="008A2B7C" w:rsidRPr="00850242" w:rsidRDefault="00266129" w:rsidP="00504A83">
      <w:pPr>
        <w:spacing w:line="240" w:lineRule="auto"/>
        <w:rPr>
          <w:b/>
        </w:rPr>
      </w:pPr>
      <w:r w:rsidRPr="00850242">
        <w:rPr>
          <w:b/>
        </w:rPr>
        <w:t>QUALIFICATIONS</w:t>
      </w:r>
      <w:r w:rsidR="00850242" w:rsidRPr="00850242">
        <w:rPr>
          <w:b/>
        </w:rPr>
        <w:t xml:space="preserve"> AND / OR ACCREDITATIONS</w:t>
      </w:r>
      <w:r w:rsidRPr="00850242">
        <w:rPr>
          <w:b/>
        </w:rPr>
        <w:t xml:space="preserve"> ASSESSESSED AND IN</w:t>
      </w:r>
      <w:r w:rsidR="00CD5014">
        <w:rPr>
          <w:b/>
        </w:rPr>
        <w:t>TERNALLY VERIFIED BY THE CENTRE, THAT THE CENTRE IS APPROVED FOR BY IMI AWARDS:</w:t>
      </w:r>
    </w:p>
    <w:tbl>
      <w:tblPr>
        <w:tblStyle w:val="TableGrid"/>
        <w:tblW w:w="9180" w:type="dxa"/>
        <w:tblLook w:val="04A0"/>
      </w:tblPr>
      <w:tblGrid>
        <w:gridCol w:w="1721"/>
        <w:gridCol w:w="542"/>
        <w:gridCol w:w="548"/>
        <w:gridCol w:w="531"/>
        <w:gridCol w:w="400"/>
        <w:gridCol w:w="384"/>
        <w:gridCol w:w="578"/>
        <w:gridCol w:w="524"/>
        <w:gridCol w:w="600"/>
        <w:gridCol w:w="397"/>
        <w:gridCol w:w="553"/>
        <w:gridCol w:w="969"/>
        <w:gridCol w:w="1433"/>
      </w:tblGrid>
      <w:tr w:rsidR="008A2B7C" w:rsidTr="00EB773E">
        <w:tc>
          <w:tcPr>
            <w:tcW w:w="1721" w:type="dxa"/>
          </w:tcPr>
          <w:p w:rsidR="008A2B7C" w:rsidRDefault="008A2B7C" w:rsidP="008A2B7C">
            <w:pPr>
              <w:jc w:val="center"/>
              <w:rPr>
                <w:b/>
              </w:rPr>
            </w:pPr>
            <w:r>
              <w:rPr>
                <w:b/>
              </w:rPr>
              <w:t>Qualification title</w:t>
            </w:r>
          </w:p>
        </w:tc>
        <w:tc>
          <w:tcPr>
            <w:tcW w:w="5057" w:type="dxa"/>
            <w:gridSpan w:val="10"/>
          </w:tcPr>
          <w:p w:rsidR="008A2B7C" w:rsidRDefault="008A2B7C" w:rsidP="008A2B7C">
            <w:pPr>
              <w:jc w:val="center"/>
              <w:rPr>
                <w:b/>
              </w:rPr>
            </w:pPr>
            <w:r>
              <w:rPr>
                <w:b/>
              </w:rPr>
              <w:t>Type</w:t>
            </w:r>
          </w:p>
          <w:p w:rsidR="00094F3C" w:rsidRDefault="00094F3C" w:rsidP="008A2B7C">
            <w:pPr>
              <w:jc w:val="center"/>
              <w:rPr>
                <w:b/>
              </w:rPr>
            </w:pPr>
          </w:p>
          <w:p w:rsidR="00094F3C" w:rsidRPr="00094F3C" w:rsidRDefault="00094F3C" w:rsidP="008A2B7C">
            <w:pPr>
              <w:jc w:val="center"/>
            </w:pPr>
            <w:r w:rsidRPr="00094F3C">
              <w:t>(tick box relevant)</w:t>
            </w:r>
          </w:p>
        </w:tc>
        <w:tc>
          <w:tcPr>
            <w:tcW w:w="969" w:type="dxa"/>
          </w:tcPr>
          <w:p w:rsidR="008A2B7C" w:rsidRDefault="008A2B7C" w:rsidP="008A2B7C">
            <w:pPr>
              <w:jc w:val="center"/>
              <w:rPr>
                <w:b/>
              </w:rPr>
            </w:pPr>
            <w:r>
              <w:rPr>
                <w:b/>
              </w:rPr>
              <w:t xml:space="preserve">Level </w:t>
            </w:r>
          </w:p>
        </w:tc>
        <w:tc>
          <w:tcPr>
            <w:tcW w:w="1433" w:type="dxa"/>
          </w:tcPr>
          <w:p w:rsidR="008A2B7C" w:rsidRDefault="008A2B7C" w:rsidP="008A2B7C">
            <w:pPr>
              <w:jc w:val="center"/>
              <w:rPr>
                <w:b/>
              </w:rPr>
            </w:pPr>
            <w:r>
              <w:rPr>
                <w:b/>
              </w:rPr>
              <w:t>Number of candidates registered</w:t>
            </w:r>
          </w:p>
        </w:tc>
      </w:tr>
      <w:tr w:rsidR="00094F3C" w:rsidTr="00EB773E">
        <w:tc>
          <w:tcPr>
            <w:tcW w:w="1721" w:type="dxa"/>
          </w:tcPr>
          <w:p w:rsidR="00094F3C" w:rsidRDefault="00094F3C" w:rsidP="008A2B7C">
            <w:pPr>
              <w:jc w:val="center"/>
              <w:rPr>
                <w:b/>
              </w:rPr>
            </w:pPr>
          </w:p>
        </w:tc>
        <w:tc>
          <w:tcPr>
            <w:tcW w:w="542" w:type="dxa"/>
          </w:tcPr>
          <w:p w:rsidR="00094F3C" w:rsidRPr="008A2B7C" w:rsidRDefault="00094F3C" w:rsidP="008A2B7C">
            <w:pPr>
              <w:jc w:val="center"/>
              <w:rPr>
                <w:b/>
                <w:sz w:val="18"/>
                <w:szCs w:val="18"/>
              </w:rPr>
            </w:pPr>
            <w:r>
              <w:rPr>
                <w:b/>
                <w:sz w:val="18"/>
                <w:szCs w:val="18"/>
              </w:rPr>
              <w:t>VCQ</w:t>
            </w:r>
          </w:p>
        </w:tc>
        <w:tc>
          <w:tcPr>
            <w:tcW w:w="548" w:type="dxa"/>
          </w:tcPr>
          <w:p w:rsidR="00094F3C" w:rsidRPr="008A2B7C" w:rsidRDefault="00094F3C" w:rsidP="008A2B7C">
            <w:pPr>
              <w:jc w:val="center"/>
              <w:rPr>
                <w:b/>
                <w:sz w:val="18"/>
                <w:szCs w:val="18"/>
              </w:rPr>
            </w:pPr>
            <w:r>
              <w:rPr>
                <w:b/>
                <w:sz w:val="18"/>
                <w:szCs w:val="18"/>
              </w:rPr>
              <w:t>VRQ</w:t>
            </w:r>
          </w:p>
        </w:tc>
        <w:tc>
          <w:tcPr>
            <w:tcW w:w="531" w:type="dxa"/>
          </w:tcPr>
          <w:p w:rsidR="00094F3C" w:rsidRPr="008A2B7C" w:rsidRDefault="00094F3C" w:rsidP="008A2B7C">
            <w:pPr>
              <w:jc w:val="center"/>
              <w:rPr>
                <w:b/>
                <w:sz w:val="18"/>
                <w:szCs w:val="18"/>
              </w:rPr>
            </w:pPr>
          </w:p>
        </w:tc>
        <w:tc>
          <w:tcPr>
            <w:tcW w:w="400" w:type="dxa"/>
          </w:tcPr>
          <w:p w:rsidR="00094F3C" w:rsidRPr="008A2B7C" w:rsidRDefault="00094F3C" w:rsidP="008A2B7C">
            <w:pPr>
              <w:jc w:val="center"/>
              <w:rPr>
                <w:b/>
                <w:sz w:val="18"/>
                <w:szCs w:val="18"/>
              </w:rPr>
            </w:pPr>
          </w:p>
        </w:tc>
        <w:tc>
          <w:tcPr>
            <w:tcW w:w="384" w:type="dxa"/>
          </w:tcPr>
          <w:p w:rsidR="00094F3C" w:rsidRPr="008A2B7C" w:rsidRDefault="00094F3C" w:rsidP="008A2B7C">
            <w:pPr>
              <w:jc w:val="center"/>
              <w:rPr>
                <w:b/>
                <w:sz w:val="18"/>
                <w:szCs w:val="18"/>
              </w:rPr>
            </w:pPr>
          </w:p>
        </w:tc>
        <w:tc>
          <w:tcPr>
            <w:tcW w:w="578" w:type="dxa"/>
          </w:tcPr>
          <w:p w:rsidR="00094F3C" w:rsidRPr="008A2B7C" w:rsidRDefault="00094F3C" w:rsidP="008A2B7C">
            <w:pPr>
              <w:jc w:val="center"/>
              <w:rPr>
                <w:b/>
                <w:sz w:val="18"/>
                <w:szCs w:val="18"/>
              </w:rPr>
            </w:pPr>
          </w:p>
        </w:tc>
        <w:tc>
          <w:tcPr>
            <w:tcW w:w="524" w:type="dxa"/>
          </w:tcPr>
          <w:p w:rsidR="00094F3C" w:rsidRPr="008A2B7C" w:rsidRDefault="00094F3C" w:rsidP="008A2B7C">
            <w:pPr>
              <w:jc w:val="center"/>
              <w:rPr>
                <w:b/>
                <w:sz w:val="18"/>
                <w:szCs w:val="18"/>
              </w:rPr>
            </w:pPr>
          </w:p>
        </w:tc>
        <w:tc>
          <w:tcPr>
            <w:tcW w:w="600" w:type="dxa"/>
          </w:tcPr>
          <w:p w:rsidR="00094F3C" w:rsidRPr="008A2B7C" w:rsidRDefault="00094F3C" w:rsidP="008A2B7C">
            <w:pPr>
              <w:jc w:val="center"/>
              <w:rPr>
                <w:b/>
                <w:sz w:val="18"/>
                <w:szCs w:val="18"/>
              </w:rPr>
            </w:pPr>
          </w:p>
        </w:tc>
        <w:tc>
          <w:tcPr>
            <w:tcW w:w="397" w:type="dxa"/>
          </w:tcPr>
          <w:p w:rsidR="00094F3C" w:rsidRPr="008A2B7C" w:rsidRDefault="00094F3C" w:rsidP="00094F3C">
            <w:pPr>
              <w:jc w:val="center"/>
              <w:rPr>
                <w:b/>
                <w:sz w:val="18"/>
                <w:szCs w:val="18"/>
              </w:rPr>
            </w:pPr>
          </w:p>
        </w:tc>
        <w:tc>
          <w:tcPr>
            <w:tcW w:w="553" w:type="dxa"/>
          </w:tcPr>
          <w:p w:rsidR="00094F3C" w:rsidRPr="008A2B7C" w:rsidRDefault="00094F3C" w:rsidP="00094F3C">
            <w:pPr>
              <w:jc w:val="center"/>
              <w:rPr>
                <w:b/>
                <w:sz w:val="18"/>
                <w:szCs w:val="18"/>
              </w:rPr>
            </w:pPr>
          </w:p>
        </w:tc>
        <w:tc>
          <w:tcPr>
            <w:tcW w:w="969" w:type="dxa"/>
          </w:tcPr>
          <w:p w:rsidR="00094F3C" w:rsidRDefault="00094F3C" w:rsidP="008A2B7C">
            <w:pPr>
              <w:jc w:val="center"/>
              <w:rPr>
                <w:b/>
              </w:rPr>
            </w:pPr>
          </w:p>
        </w:tc>
        <w:tc>
          <w:tcPr>
            <w:tcW w:w="1433" w:type="dxa"/>
          </w:tcPr>
          <w:p w:rsidR="00094F3C" w:rsidRDefault="00094F3C" w:rsidP="008A2B7C">
            <w:pPr>
              <w:jc w:val="center"/>
              <w:rPr>
                <w:b/>
              </w:rPr>
            </w:pPr>
          </w:p>
        </w:tc>
      </w:tr>
      <w:tr w:rsidR="00094F3C" w:rsidTr="00EB773E">
        <w:tc>
          <w:tcPr>
            <w:tcW w:w="1721" w:type="dxa"/>
          </w:tcPr>
          <w:p w:rsidR="00094F3C" w:rsidRPr="00EB773E" w:rsidRDefault="00094F3C" w:rsidP="008A2B7C">
            <w:pPr>
              <w:jc w:val="center"/>
              <w:rPr>
                <w:rFonts w:ascii="Arial" w:hAnsi="Arial" w:cs="Arial"/>
                <w:sz w:val="20"/>
                <w:szCs w:val="20"/>
              </w:rPr>
            </w:pPr>
          </w:p>
        </w:tc>
        <w:tc>
          <w:tcPr>
            <w:tcW w:w="542" w:type="dxa"/>
          </w:tcPr>
          <w:p w:rsidR="00094F3C" w:rsidRPr="00EB773E" w:rsidRDefault="00094F3C" w:rsidP="008A2B7C">
            <w:pPr>
              <w:jc w:val="center"/>
              <w:rPr>
                <w:rFonts w:ascii="Arial" w:hAnsi="Arial" w:cs="Arial"/>
                <w:sz w:val="20"/>
                <w:szCs w:val="20"/>
              </w:rPr>
            </w:pPr>
          </w:p>
        </w:tc>
        <w:tc>
          <w:tcPr>
            <w:tcW w:w="548" w:type="dxa"/>
          </w:tcPr>
          <w:p w:rsidR="00094F3C" w:rsidRPr="00EB773E" w:rsidRDefault="00094F3C" w:rsidP="008A2B7C">
            <w:pPr>
              <w:jc w:val="center"/>
              <w:rPr>
                <w:rFonts w:ascii="Arial" w:hAnsi="Arial" w:cs="Arial"/>
                <w:sz w:val="20"/>
                <w:szCs w:val="20"/>
              </w:rPr>
            </w:pPr>
          </w:p>
        </w:tc>
        <w:tc>
          <w:tcPr>
            <w:tcW w:w="531" w:type="dxa"/>
          </w:tcPr>
          <w:p w:rsidR="00094F3C" w:rsidRPr="00EB773E" w:rsidRDefault="00094F3C" w:rsidP="008A2B7C">
            <w:pPr>
              <w:jc w:val="center"/>
              <w:rPr>
                <w:rFonts w:ascii="Arial" w:hAnsi="Arial" w:cs="Arial"/>
                <w:sz w:val="20"/>
                <w:szCs w:val="20"/>
              </w:rPr>
            </w:pPr>
          </w:p>
        </w:tc>
        <w:tc>
          <w:tcPr>
            <w:tcW w:w="400" w:type="dxa"/>
          </w:tcPr>
          <w:p w:rsidR="00094F3C" w:rsidRPr="00EB773E" w:rsidRDefault="00094F3C" w:rsidP="008A2B7C">
            <w:pPr>
              <w:jc w:val="center"/>
              <w:rPr>
                <w:rFonts w:ascii="Arial" w:hAnsi="Arial" w:cs="Arial"/>
                <w:sz w:val="20"/>
                <w:szCs w:val="20"/>
              </w:rPr>
            </w:pPr>
          </w:p>
        </w:tc>
        <w:tc>
          <w:tcPr>
            <w:tcW w:w="384" w:type="dxa"/>
          </w:tcPr>
          <w:p w:rsidR="00094F3C" w:rsidRPr="00EB773E" w:rsidRDefault="00094F3C" w:rsidP="008A2B7C">
            <w:pPr>
              <w:jc w:val="center"/>
              <w:rPr>
                <w:rFonts w:ascii="Arial" w:hAnsi="Arial" w:cs="Arial"/>
                <w:sz w:val="20"/>
                <w:szCs w:val="20"/>
              </w:rPr>
            </w:pPr>
          </w:p>
        </w:tc>
        <w:tc>
          <w:tcPr>
            <w:tcW w:w="578" w:type="dxa"/>
          </w:tcPr>
          <w:p w:rsidR="00094F3C" w:rsidRPr="00EB773E" w:rsidRDefault="00094F3C" w:rsidP="008A2B7C">
            <w:pPr>
              <w:jc w:val="center"/>
              <w:rPr>
                <w:rFonts w:ascii="Arial" w:hAnsi="Arial" w:cs="Arial"/>
                <w:sz w:val="20"/>
                <w:szCs w:val="20"/>
              </w:rPr>
            </w:pPr>
          </w:p>
        </w:tc>
        <w:tc>
          <w:tcPr>
            <w:tcW w:w="524" w:type="dxa"/>
          </w:tcPr>
          <w:p w:rsidR="00094F3C" w:rsidRPr="00EB773E" w:rsidRDefault="00094F3C" w:rsidP="008A2B7C">
            <w:pPr>
              <w:jc w:val="center"/>
              <w:rPr>
                <w:rFonts w:ascii="Arial" w:hAnsi="Arial" w:cs="Arial"/>
                <w:sz w:val="20"/>
                <w:szCs w:val="20"/>
              </w:rPr>
            </w:pPr>
          </w:p>
        </w:tc>
        <w:tc>
          <w:tcPr>
            <w:tcW w:w="600" w:type="dxa"/>
          </w:tcPr>
          <w:p w:rsidR="00094F3C" w:rsidRPr="00EB773E" w:rsidRDefault="00094F3C" w:rsidP="008A2B7C">
            <w:pPr>
              <w:jc w:val="center"/>
              <w:rPr>
                <w:rFonts w:ascii="Arial" w:hAnsi="Arial" w:cs="Arial"/>
                <w:sz w:val="20"/>
                <w:szCs w:val="20"/>
              </w:rPr>
            </w:pPr>
          </w:p>
        </w:tc>
        <w:tc>
          <w:tcPr>
            <w:tcW w:w="397" w:type="dxa"/>
          </w:tcPr>
          <w:p w:rsidR="00094F3C" w:rsidRPr="00EB773E" w:rsidRDefault="00094F3C" w:rsidP="008A2B7C">
            <w:pPr>
              <w:jc w:val="center"/>
              <w:rPr>
                <w:rFonts w:ascii="Arial" w:hAnsi="Arial" w:cs="Arial"/>
                <w:sz w:val="20"/>
                <w:szCs w:val="20"/>
              </w:rPr>
            </w:pPr>
          </w:p>
        </w:tc>
        <w:tc>
          <w:tcPr>
            <w:tcW w:w="553" w:type="dxa"/>
          </w:tcPr>
          <w:p w:rsidR="00094F3C" w:rsidRPr="00EB773E" w:rsidRDefault="00094F3C" w:rsidP="008A2B7C">
            <w:pPr>
              <w:jc w:val="center"/>
              <w:rPr>
                <w:rFonts w:ascii="Arial" w:hAnsi="Arial" w:cs="Arial"/>
                <w:sz w:val="20"/>
                <w:szCs w:val="20"/>
              </w:rPr>
            </w:pPr>
          </w:p>
        </w:tc>
        <w:tc>
          <w:tcPr>
            <w:tcW w:w="969" w:type="dxa"/>
          </w:tcPr>
          <w:p w:rsidR="00094F3C" w:rsidRPr="00EB773E" w:rsidRDefault="00094F3C" w:rsidP="008A2B7C">
            <w:pPr>
              <w:jc w:val="center"/>
              <w:rPr>
                <w:rFonts w:ascii="Arial" w:hAnsi="Arial" w:cs="Arial"/>
                <w:sz w:val="20"/>
                <w:szCs w:val="20"/>
              </w:rPr>
            </w:pPr>
          </w:p>
        </w:tc>
        <w:tc>
          <w:tcPr>
            <w:tcW w:w="1433" w:type="dxa"/>
          </w:tcPr>
          <w:p w:rsidR="00094F3C" w:rsidRPr="00EB773E" w:rsidRDefault="00094F3C" w:rsidP="008A2B7C">
            <w:pPr>
              <w:jc w:val="center"/>
              <w:rPr>
                <w:rFonts w:ascii="Arial" w:hAnsi="Arial" w:cs="Arial"/>
                <w:sz w:val="20"/>
                <w:szCs w:val="20"/>
              </w:rPr>
            </w:pPr>
          </w:p>
        </w:tc>
      </w:tr>
      <w:tr w:rsidR="00094F3C" w:rsidTr="00EB773E">
        <w:tc>
          <w:tcPr>
            <w:tcW w:w="1721" w:type="dxa"/>
          </w:tcPr>
          <w:p w:rsidR="00094F3C" w:rsidRPr="00EB773E" w:rsidRDefault="00094F3C" w:rsidP="008A2B7C">
            <w:pPr>
              <w:jc w:val="center"/>
              <w:rPr>
                <w:rFonts w:ascii="Arial" w:hAnsi="Arial" w:cs="Arial"/>
                <w:sz w:val="20"/>
                <w:szCs w:val="20"/>
              </w:rPr>
            </w:pPr>
          </w:p>
        </w:tc>
        <w:tc>
          <w:tcPr>
            <w:tcW w:w="542" w:type="dxa"/>
          </w:tcPr>
          <w:p w:rsidR="00094F3C" w:rsidRPr="00EB773E" w:rsidRDefault="00094F3C" w:rsidP="008A2B7C">
            <w:pPr>
              <w:jc w:val="center"/>
              <w:rPr>
                <w:rFonts w:ascii="Arial" w:hAnsi="Arial" w:cs="Arial"/>
                <w:sz w:val="20"/>
                <w:szCs w:val="20"/>
              </w:rPr>
            </w:pPr>
          </w:p>
        </w:tc>
        <w:tc>
          <w:tcPr>
            <w:tcW w:w="548" w:type="dxa"/>
          </w:tcPr>
          <w:p w:rsidR="00094F3C" w:rsidRPr="00EB773E" w:rsidRDefault="00094F3C" w:rsidP="008A2B7C">
            <w:pPr>
              <w:jc w:val="center"/>
              <w:rPr>
                <w:rFonts w:ascii="Arial" w:hAnsi="Arial" w:cs="Arial"/>
                <w:sz w:val="20"/>
                <w:szCs w:val="20"/>
              </w:rPr>
            </w:pPr>
          </w:p>
        </w:tc>
        <w:tc>
          <w:tcPr>
            <w:tcW w:w="531" w:type="dxa"/>
          </w:tcPr>
          <w:p w:rsidR="00094F3C" w:rsidRPr="00EB773E" w:rsidRDefault="00094F3C" w:rsidP="008A2B7C">
            <w:pPr>
              <w:jc w:val="center"/>
              <w:rPr>
                <w:rFonts w:ascii="Arial" w:hAnsi="Arial" w:cs="Arial"/>
                <w:sz w:val="20"/>
                <w:szCs w:val="20"/>
              </w:rPr>
            </w:pPr>
          </w:p>
        </w:tc>
        <w:tc>
          <w:tcPr>
            <w:tcW w:w="400" w:type="dxa"/>
          </w:tcPr>
          <w:p w:rsidR="00094F3C" w:rsidRPr="00EB773E" w:rsidRDefault="00094F3C" w:rsidP="008A2B7C">
            <w:pPr>
              <w:jc w:val="center"/>
              <w:rPr>
                <w:rFonts w:ascii="Arial" w:hAnsi="Arial" w:cs="Arial"/>
                <w:sz w:val="20"/>
                <w:szCs w:val="20"/>
              </w:rPr>
            </w:pPr>
          </w:p>
        </w:tc>
        <w:tc>
          <w:tcPr>
            <w:tcW w:w="384" w:type="dxa"/>
          </w:tcPr>
          <w:p w:rsidR="00094F3C" w:rsidRPr="00EB773E" w:rsidRDefault="00094F3C" w:rsidP="008A2B7C">
            <w:pPr>
              <w:jc w:val="center"/>
              <w:rPr>
                <w:rFonts w:ascii="Arial" w:hAnsi="Arial" w:cs="Arial"/>
                <w:sz w:val="20"/>
                <w:szCs w:val="20"/>
              </w:rPr>
            </w:pPr>
          </w:p>
        </w:tc>
        <w:tc>
          <w:tcPr>
            <w:tcW w:w="578" w:type="dxa"/>
          </w:tcPr>
          <w:p w:rsidR="00094F3C" w:rsidRPr="00EB773E" w:rsidRDefault="00094F3C" w:rsidP="008A2B7C">
            <w:pPr>
              <w:jc w:val="center"/>
              <w:rPr>
                <w:rFonts w:ascii="Arial" w:hAnsi="Arial" w:cs="Arial"/>
                <w:sz w:val="20"/>
                <w:szCs w:val="20"/>
              </w:rPr>
            </w:pPr>
          </w:p>
        </w:tc>
        <w:tc>
          <w:tcPr>
            <w:tcW w:w="524" w:type="dxa"/>
          </w:tcPr>
          <w:p w:rsidR="00094F3C" w:rsidRPr="00EB773E" w:rsidRDefault="00094F3C" w:rsidP="008A2B7C">
            <w:pPr>
              <w:jc w:val="center"/>
              <w:rPr>
                <w:rFonts w:ascii="Arial" w:hAnsi="Arial" w:cs="Arial"/>
                <w:sz w:val="20"/>
                <w:szCs w:val="20"/>
              </w:rPr>
            </w:pPr>
          </w:p>
        </w:tc>
        <w:tc>
          <w:tcPr>
            <w:tcW w:w="600" w:type="dxa"/>
          </w:tcPr>
          <w:p w:rsidR="00094F3C" w:rsidRPr="00EB773E" w:rsidRDefault="00094F3C" w:rsidP="008A2B7C">
            <w:pPr>
              <w:jc w:val="center"/>
              <w:rPr>
                <w:rFonts w:ascii="Arial" w:hAnsi="Arial" w:cs="Arial"/>
                <w:sz w:val="20"/>
                <w:szCs w:val="20"/>
              </w:rPr>
            </w:pPr>
          </w:p>
        </w:tc>
        <w:tc>
          <w:tcPr>
            <w:tcW w:w="397" w:type="dxa"/>
          </w:tcPr>
          <w:p w:rsidR="00094F3C" w:rsidRPr="00EB773E" w:rsidRDefault="00094F3C" w:rsidP="008A2B7C">
            <w:pPr>
              <w:jc w:val="center"/>
              <w:rPr>
                <w:rFonts w:ascii="Arial" w:hAnsi="Arial" w:cs="Arial"/>
                <w:sz w:val="20"/>
                <w:szCs w:val="20"/>
              </w:rPr>
            </w:pPr>
          </w:p>
        </w:tc>
        <w:tc>
          <w:tcPr>
            <w:tcW w:w="553" w:type="dxa"/>
          </w:tcPr>
          <w:p w:rsidR="00094F3C" w:rsidRPr="00EB773E" w:rsidRDefault="00094F3C" w:rsidP="008A2B7C">
            <w:pPr>
              <w:jc w:val="center"/>
              <w:rPr>
                <w:rFonts w:ascii="Arial" w:hAnsi="Arial" w:cs="Arial"/>
                <w:sz w:val="20"/>
                <w:szCs w:val="20"/>
              </w:rPr>
            </w:pPr>
          </w:p>
        </w:tc>
        <w:tc>
          <w:tcPr>
            <w:tcW w:w="969" w:type="dxa"/>
          </w:tcPr>
          <w:p w:rsidR="00094F3C" w:rsidRPr="00EB773E" w:rsidRDefault="00094F3C" w:rsidP="008A2B7C">
            <w:pPr>
              <w:jc w:val="center"/>
              <w:rPr>
                <w:rFonts w:ascii="Arial" w:hAnsi="Arial" w:cs="Arial"/>
                <w:sz w:val="20"/>
                <w:szCs w:val="20"/>
              </w:rPr>
            </w:pPr>
          </w:p>
        </w:tc>
        <w:tc>
          <w:tcPr>
            <w:tcW w:w="1433" w:type="dxa"/>
          </w:tcPr>
          <w:p w:rsidR="00094F3C" w:rsidRPr="00EB773E" w:rsidRDefault="00094F3C" w:rsidP="008A2B7C">
            <w:pPr>
              <w:jc w:val="center"/>
              <w:rPr>
                <w:rFonts w:ascii="Arial" w:hAnsi="Arial" w:cs="Arial"/>
                <w:sz w:val="20"/>
                <w:szCs w:val="20"/>
              </w:rPr>
            </w:pPr>
          </w:p>
        </w:tc>
      </w:tr>
      <w:tr w:rsidR="00EB773E" w:rsidTr="00EB773E">
        <w:tc>
          <w:tcPr>
            <w:tcW w:w="1721" w:type="dxa"/>
          </w:tcPr>
          <w:p w:rsidR="00EB773E" w:rsidRPr="00EB773E" w:rsidRDefault="00EB773E" w:rsidP="00E65967">
            <w:pPr>
              <w:jc w:val="center"/>
              <w:rPr>
                <w:rFonts w:ascii="Arial" w:hAnsi="Arial" w:cs="Arial"/>
                <w:sz w:val="20"/>
                <w:szCs w:val="20"/>
              </w:rPr>
            </w:pPr>
          </w:p>
        </w:tc>
        <w:tc>
          <w:tcPr>
            <w:tcW w:w="542" w:type="dxa"/>
          </w:tcPr>
          <w:p w:rsidR="00EB773E" w:rsidRPr="00EB773E" w:rsidRDefault="00EB773E" w:rsidP="00E65967">
            <w:pPr>
              <w:jc w:val="center"/>
              <w:rPr>
                <w:rFonts w:ascii="Arial" w:hAnsi="Arial" w:cs="Arial"/>
                <w:sz w:val="20"/>
                <w:szCs w:val="20"/>
              </w:rPr>
            </w:pPr>
          </w:p>
        </w:tc>
        <w:tc>
          <w:tcPr>
            <w:tcW w:w="548" w:type="dxa"/>
          </w:tcPr>
          <w:p w:rsidR="00EB773E" w:rsidRPr="00EB773E" w:rsidRDefault="00EB773E" w:rsidP="00E65967">
            <w:pPr>
              <w:jc w:val="center"/>
              <w:rPr>
                <w:rFonts w:ascii="Arial" w:hAnsi="Arial" w:cs="Arial"/>
                <w:sz w:val="20"/>
                <w:szCs w:val="20"/>
              </w:rPr>
            </w:pPr>
          </w:p>
        </w:tc>
        <w:tc>
          <w:tcPr>
            <w:tcW w:w="531" w:type="dxa"/>
          </w:tcPr>
          <w:p w:rsidR="00EB773E" w:rsidRPr="00EB773E" w:rsidRDefault="00EB773E" w:rsidP="00E65967">
            <w:pPr>
              <w:jc w:val="center"/>
              <w:rPr>
                <w:rFonts w:ascii="Arial" w:hAnsi="Arial" w:cs="Arial"/>
                <w:sz w:val="20"/>
                <w:szCs w:val="20"/>
              </w:rPr>
            </w:pPr>
          </w:p>
        </w:tc>
        <w:tc>
          <w:tcPr>
            <w:tcW w:w="400" w:type="dxa"/>
          </w:tcPr>
          <w:p w:rsidR="00EB773E" w:rsidRPr="00EB773E" w:rsidRDefault="00EB773E" w:rsidP="00E65967">
            <w:pPr>
              <w:jc w:val="center"/>
              <w:rPr>
                <w:rFonts w:ascii="Arial" w:hAnsi="Arial" w:cs="Arial"/>
                <w:sz w:val="20"/>
                <w:szCs w:val="20"/>
              </w:rPr>
            </w:pPr>
          </w:p>
        </w:tc>
        <w:tc>
          <w:tcPr>
            <w:tcW w:w="384" w:type="dxa"/>
          </w:tcPr>
          <w:p w:rsidR="00EB773E" w:rsidRPr="00EB773E" w:rsidRDefault="00EB773E" w:rsidP="00E65967">
            <w:pPr>
              <w:jc w:val="center"/>
              <w:rPr>
                <w:rFonts w:ascii="Arial" w:hAnsi="Arial" w:cs="Arial"/>
                <w:sz w:val="20"/>
                <w:szCs w:val="20"/>
              </w:rPr>
            </w:pPr>
          </w:p>
        </w:tc>
        <w:tc>
          <w:tcPr>
            <w:tcW w:w="578" w:type="dxa"/>
          </w:tcPr>
          <w:p w:rsidR="00EB773E" w:rsidRPr="00EB773E" w:rsidRDefault="00EB773E" w:rsidP="00E65967">
            <w:pPr>
              <w:jc w:val="center"/>
              <w:rPr>
                <w:rFonts w:ascii="Arial" w:hAnsi="Arial" w:cs="Arial"/>
                <w:sz w:val="20"/>
                <w:szCs w:val="20"/>
              </w:rPr>
            </w:pPr>
          </w:p>
        </w:tc>
        <w:tc>
          <w:tcPr>
            <w:tcW w:w="524" w:type="dxa"/>
          </w:tcPr>
          <w:p w:rsidR="00EB773E" w:rsidRPr="00EB773E" w:rsidRDefault="00EB773E" w:rsidP="00E65967">
            <w:pPr>
              <w:jc w:val="center"/>
              <w:rPr>
                <w:rFonts w:ascii="Arial" w:hAnsi="Arial" w:cs="Arial"/>
                <w:sz w:val="20"/>
                <w:szCs w:val="20"/>
              </w:rPr>
            </w:pPr>
          </w:p>
        </w:tc>
        <w:tc>
          <w:tcPr>
            <w:tcW w:w="600" w:type="dxa"/>
          </w:tcPr>
          <w:p w:rsidR="00EB773E" w:rsidRPr="00EB773E" w:rsidRDefault="00EB773E" w:rsidP="00E65967">
            <w:pPr>
              <w:jc w:val="center"/>
              <w:rPr>
                <w:rFonts w:ascii="Arial" w:hAnsi="Arial" w:cs="Arial"/>
                <w:sz w:val="20"/>
                <w:szCs w:val="20"/>
              </w:rPr>
            </w:pPr>
          </w:p>
        </w:tc>
        <w:tc>
          <w:tcPr>
            <w:tcW w:w="397" w:type="dxa"/>
          </w:tcPr>
          <w:p w:rsidR="00EB773E" w:rsidRPr="00EB773E" w:rsidRDefault="00EB773E" w:rsidP="00E65967">
            <w:pPr>
              <w:jc w:val="center"/>
              <w:rPr>
                <w:rFonts w:ascii="Arial" w:hAnsi="Arial" w:cs="Arial"/>
                <w:sz w:val="20"/>
                <w:szCs w:val="20"/>
              </w:rPr>
            </w:pPr>
          </w:p>
        </w:tc>
        <w:tc>
          <w:tcPr>
            <w:tcW w:w="553" w:type="dxa"/>
          </w:tcPr>
          <w:p w:rsidR="00EB773E" w:rsidRPr="00EB773E" w:rsidRDefault="00EB773E" w:rsidP="00E65967">
            <w:pPr>
              <w:jc w:val="center"/>
              <w:rPr>
                <w:rFonts w:ascii="Arial" w:hAnsi="Arial" w:cs="Arial"/>
                <w:sz w:val="20"/>
                <w:szCs w:val="20"/>
              </w:rPr>
            </w:pPr>
          </w:p>
        </w:tc>
        <w:tc>
          <w:tcPr>
            <w:tcW w:w="969" w:type="dxa"/>
          </w:tcPr>
          <w:p w:rsidR="00EB773E" w:rsidRPr="00EB773E" w:rsidRDefault="00EB773E" w:rsidP="00E65967">
            <w:pPr>
              <w:jc w:val="center"/>
              <w:rPr>
                <w:rFonts w:ascii="Arial" w:hAnsi="Arial" w:cs="Arial"/>
                <w:sz w:val="20"/>
                <w:szCs w:val="20"/>
              </w:rPr>
            </w:pPr>
          </w:p>
        </w:tc>
        <w:tc>
          <w:tcPr>
            <w:tcW w:w="1433" w:type="dxa"/>
          </w:tcPr>
          <w:p w:rsidR="00EB773E" w:rsidRPr="00EB773E" w:rsidRDefault="00EB773E" w:rsidP="00E65967">
            <w:pPr>
              <w:jc w:val="center"/>
              <w:rPr>
                <w:rFonts w:ascii="Arial" w:hAnsi="Arial" w:cs="Arial"/>
                <w:sz w:val="20"/>
                <w:szCs w:val="20"/>
              </w:rPr>
            </w:pPr>
          </w:p>
        </w:tc>
      </w:tr>
      <w:tr w:rsidR="00EB773E" w:rsidTr="00EB773E">
        <w:tc>
          <w:tcPr>
            <w:tcW w:w="1721" w:type="dxa"/>
          </w:tcPr>
          <w:p w:rsidR="00EB773E" w:rsidRPr="00EB773E" w:rsidRDefault="00EB773E" w:rsidP="00E65967">
            <w:pPr>
              <w:jc w:val="center"/>
              <w:rPr>
                <w:rFonts w:ascii="Arial" w:hAnsi="Arial" w:cs="Arial"/>
                <w:sz w:val="20"/>
                <w:szCs w:val="20"/>
              </w:rPr>
            </w:pPr>
          </w:p>
        </w:tc>
        <w:tc>
          <w:tcPr>
            <w:tcW w:w="542" w:type="dxa"/>
          </w:tcPr>
          <w:p w:rsidR="00EB773E" w:rsidRPr="00EB773E" w:rsidRDefault="00EB773E" w:rsidP="00E65967">
            <w:pPr>
              <w:jc w:val="center"/>
              <w:rPr>
                <w:rFonts w:ascii="Arial" w:hAnsi="Arial" w:cs="Arial"/>
                <w:sz w:val="20"/>
                <w:szCs w:val="20"/>
              </w:rPr>
            </w:pPr>
          </w:p>
        </w:tc>
        <w:tc>
          <w:tcPr>
            <w:tcW w:w="548" w:type="dxa"/>
          </w:tcPr>
          <w:p w:rsidR="00EB773E" w:rsidRPr="00EB773E" w:rsidRDefault="00EB773E" w:rsidP="00E65967">
            <w:pPr>
              <w:jc w:val="center"/>
              <w:rPr>
                <w:rFonts w:ascii="Arial" w:hAnsi="Arial" w:cs="Arial"/>
                <w:sz w:val="20"/>
                <w:szCs w:val="20"/>
              </w:rPr>
            </w:pPr>
          </w:p>
        </w:tc>
        <w:tc>
          <w:tcPr>
            <w:tcW w:w="531" w:type="dxa"/>
          </w:tcPr>
          <w:p w:rsidR="00EB773E" w:rsidRPr="00EB773E" w:rsidRDefault="00EB773E" w:rsidP="00E65967">
            <w:pPr>
              <w:jc w:val="center"/>
              <w:rPr>
                <w:rFonts w:ascii="Arial" w:hAnsi="Arial" w:cs="Arial"/>
                <w:sz w:val="20"/>
                <w:szCs w:val="20"/>
              </w:rPr>
            </w:pPr>
          </w:p>
        </w:tc>
        <w:tc>
          <w:tcPr>
            <w:tcW w:w="400" w:type="dxa"/>
          </w:tcPr>
          <w:p w:rsidR="00EB773E" w:rsidRPr="00EB773E" w:rsidRDefault="00EB773E" w:rsidP="00E65967">
            <w:pPr>
              <w:jc w:val="center"/>
              <w:rPr>
                <w:rFonts w:ascii="Arial" w:hAnsi="Arial" w:cs="Arial"/>
                <w:sz w:val="20"/>
                <w:szCs w:val="20"/>
              </w:rPr>
            </w:pPr>
          </w:p>
        </w:tc>
        <w:tc>
          <w:tcPr>
            <w:tcW w:w="384" w:type="dxa"/>
          </w:tcPr>
          <w:p w:rsidR="00EB773E" w:rsidRPr="00EB773E" w:rsidRDefault="00EB773E" w:rsidP="00E65967">
            <w:pPr>
              <w:jc w:val="center"/>
              <w:rPr>
                <w:rFonts w:ascii="Arial" w:hAnsi="Arial" w:cs="Arial"/>
                <w:sz w:val="20"/>
                <w:szCs w:val="20"/>
              </w:rPr>
            </w:pPr>
          </w:p>
        </w:tc>
        <w:tc>
          <w:tcPr>
            <w:tcW w:w="578" w:type="dxa"/>
          </w:tcPr>
          <w:p w:rsidR="00EB773E" w:rsidRPr="00EB773E" w:rsidRDefault="00EB773E" w:rsidP="00E65967">
            <w:pPr>
              <w:jc w:val="center"/>
              <w:rPr>
                <w:rFonts w:ascii="Arial" w:hAnsi="Arial" w:cs="Arial"/>
                <w:sz w:val="20"/>
                <w:szCs w:val="20"/>
              </w:rPr>
            </w:pPr>
          </w:p>
        </w:tc>
        <w:tc>
          <w:tcPr>
            <w:tcW w:w="524" w:type="dxa"/>
          </w:tcPr>
          <w:p w:rsidR="00EB773E" w:rsidRPr="00EB773E" w:rsidRDefault="00EB773E" w:rsidP="00E65967">
            <w:pPr>
              <w:jc w:val="center"/>
              <w:rPr>
                <w:rFonts w:ascii="Arial" w:hAnsi="Arial" w:cs="Arial"/>
                <w:sz w:val="20"/>
                <w:szCs w:val="20"/>
              </w:rPr>
            </w:pPr>
          </w:p>
        </w:tc>
        <w:tc>
          <w:tcPr>
            <w:tcW w:w="600" w:type="dxa"/>
          </w:tcPr>
          <w:p w:rsidR="00EB773E" w:rsidRPr="00EB773E" w:rsidRDefault="00EB773E" w:rsidP="00E65967">
            <w:pPr>
              <w:jc w:val="center"/>
              <w:rPr>
                <w:rFonts w:ascii="Arial" w:hAnsi="Arial" w:cs="Arial"/>
                <w:sz w:val="20"/>
                <w:szCs w:val="20"/>
              </w:rPr>
            </w:pPr>
          </w:p>
        </w:tc>
        <w:tc>
          <w:tcPr>
            <w:tcW w:w="397" w:type="dxa"/>
          </w:tcPr>
          <w:p w:rsidR="00EB773E" w:rsidRPr="00EB773E" w:rsidRDefault="00EB773E" w:rsidP="00E65967">
            <w:pPr>
              <w:jc w:val="center"/>
              <w:rPr>
                <w:rFonts w:ascii="Arial" w:hAnsi="Arial" w:cs="Arial"/>
                <w:sz w:val="20"/>
                <w:szCs w:val="20"/>
              </w:rPr>
            </w:pPr>
          </w:p>
        </w:tc>
        <w:tc>
          <w:tcPr>
            <w:tcW w:w="553" w:type="dxa"/>
          </w:tcPr>
          <w:p w:rsidR="00EB773E" w:rsidRPr="00EB773E" w:rsidRDefault="00EB773E" w:rsidP="00E65967">
            <w:pPr>
              <w:jc w:val="center"/>
              <w:rPr>
                <w:rFonts w:ascii="Arial" w:hAnsi="Arial" w:cs="Arial"/>
                <w:sz w:val="20"/>
                <w:szCs w:val="20"/>
              </w:rPr>
            </w:pPr>
          </w:p>
        </w:tc>
        <w:tc>
          <w:tcPr>
            <w:tcW w:w="969" w:type="dxa"/>
          </w:tcPr>
          <w:p w:rsidR="00EB773E" w:rsidRPr="00EB773E" w:rsidRDefault="00EB773E" w:rsidP="00E65967">
            <w:pPr>
              <w:jc w:val="center"/>
              <w:rPr>
                <w:rFonts w:ascii="Arial" w:hAnsi="Arial" w:cs="Arial"/>
                <w:sz w:val="20"/>
                <w:szCs w:val="20"/>
              </w:rPr>
            </w:pPr>
          </w:p>
        </w:tc>
        <w:tc>
          <w:tcPr>
            <w:tcW w:w="1433" w:type="dxa"/>
          </w:tcPr>
          <w:p w:rsidR="00EB773E" w:rsidRPr="00EB773E" w:rsidRDefault="00EB773E" w:rsidP="00E65967">
            <w:pPr>
              <w:jc w:val="center"/>
              <w:rPr>
                <w:rFonts w:ascii="Arial" w:hAnsi="Arial" w:cs="Arial"/>
                <w:sz w:val="20"/>
                <w:szCs w:val="20"/>
              </w:rPr>
            </w:pPr>
          </w:p>
        </w:tc>
      </w:tr>
      <w:tr w:rsidR="00EB773E" w:rsidTr="00EB773E">
        <w:tc>
          <w:tcPr>
            <w:tcW w:w="1721" w:type="dxa"/>
          </w:tcPr>
          <w:p w:rsidR="00EB773E" w:rsidRPr="00EB773E" w:rsidRDefault="00EB773E" w:rsidP="008A2B7C">
            <w:pPr>
              <w:jc w:val="center"/>
              <w:rPr>
                <w:rFonts w:ascii="Arial" w:hAnsi="Arial" w:cs="Arial"/>
                <w:sz w:val="20"/>
                <w:szCs w:val="20"/>
              </w:rPr>
            </w:pPr>
          </w:p>
        </w:tc>
        <w:tc>
          <w:tcPr>
            <w:tcW w:w="542" w:type="dxa"/>
          </w:tcPr>
          <w:p w:rsidR="00EB773E" w:rsidRPr="00EB773E" w:rsidRDefault="00EB773E" w:rsidP="008A2B7C">
            <w:pPr>
              <w:jc w:val="center"/>
              <w:rPr>
                <w:rFonts w:ascii="Arial" w:hAnsi="Arial" w:cs="Arial"/>
                <w:sz w:val="20"/>
                <w:szCs w:val="20"/>
              </w:rPr>
            </w:pPr>
          </w:p>
        </w:tc>
        <w:tc>
          <w:tcPr>
            <w:tcW w:w="548" w:type="dxa"/>
          </w:tcPr>
          <w:p w:rsidR="00EB773E" w:rsidRPr="00EB773E" w:rsidRDefault="00EB773E" w:rsidP="008A2B7C">
            <w:pPr>
              <w:jc w:val="center"/>
              <w:rPr>
                <w:rFonts w:ascii="Arial" w:hAnsi="Arial" w:cs="Arial"/>
                <w:sz w:val="20"/>
                <w:szCs w:val="20"/>
              </w:rPr>
            </w:pPr>
          </w:p>
        </w:tc>
        <w:tc>
          <w:tcPr>
            <w:tcW w:w="531" w:type="dxa"/>
          </w:tcPr>
          <w:p w:rsidR="00EB773E" w:rsidRPr="00EB773E" w:rsidRDefault="00EB773E" w:rsidP="008A2B7C">
            <w:pPr>
              <w:jc w:val="center"/>
              <w:rPr>
                <w:rFonts w:ascii="Arial" w:hAnsi="Arial" w:cs="Arial"/>
                <w:sz w:val="20"/>
                <w:szCs w:val="20"/>
              </w:rPr>
            </w:pPr>
          </w:p>
        </w:tc>
        <w:tc>
          <w:tcPr>
            <w:tcW w:w="400" w:type="dxa"/>
          </w:tcPr>
          <w:p w:rsidR="00EB773E" w:rsidRPr="00EB773E" w:rsidRDefault="00EB773E" w:rsidP="008A2B7C">
            <w:pPr>
              <w:jc w:val="center"/>
              <w:rPr>
                <w:rFonts w:ascii="Arial" w:hAnsi="Arial" w:cs="Arial"/>
                <w:sz w:val="20"/>
                <w:szCs w:val="20"/>
              </w:rPr>
            </w:pPr>
          </w:p>
        </w:tc>
        <w:tc>
          <w:tcPr>
            <w:tcW w:w="384" w:type="dxa"/>
          </w:tcPr>
          <w:p w:rsidR="00EB773E" w:rsidRPr="00EB773E" w:rsidRDefault="00EB773E" w:rsidP="008A2B7C">
            <w:pPr>
              <w:jc w:val="center"/>
              <w:rPr>
                <w:rFonts w:ascii="Arial" w:hAnsi="Arial" w:cs="Arial"/>
                <w:sz w:val="20"/>
                <w:szCs w:val="20"/>
              </w:rPr>
            </w:pPr>
          </w:p>
        </w:tc>
        <w:tc>
          <w:tcPr>
            <w:tcW w:w="578" w:type="dxa"/>
          </w:tcPr>
          <w:p w:rsidR="00EB773E" w:rsidRPr="00EB773E" w:rsidRDefault="00EB773E" w:rsidP="008A2B7C">
            <w:pPr>
              <w:jc w:val="center"/>
              <w:rPr>
                <w:rFonts w:ascii="Arial" w:hAnsi="Arial" w:cs="Arial"/>
                <w:sz w:val="20"/>
                <w:szCs w:val="20"/>
              </w:rPr>
            </w:pPr>
          </w:p>
        </w:tc>
        <w:tc>
          <w:tcPr>
            <w:tcW w:w="524" w:type="dxa"/>
          </w:tcPr>
          <w:p w:rsidR="00EB773E" w:rsidRPr="00EB773E" w:rsidRDefault="00EB773E" w:rsidP="008A2B7C">
            <w:pPr>
              <w:jc w:val="center"/>
              <w:rPr>
                <w:rFonts w:ascii="Arial" w:hAnsi="Arial" w:cs="Arial"/>
                <w:sz w:val="20"/>
                <w:szCs w:val="20"/>
              </w:rPr>
            </w:pPr>
          </w:p>
        </w:tc>
        <w:tc>
          <w:tcPr>
            <w:tcW w:w="600" w:type="dxa"/>
          </w:tcPr>
          <w:p w:rsidR="00EB773E" w:rsidRPr="00EB773E" w:rsidRDefault="00EB773E" w:rsidP="008A2B7C">
            <w:pPr>
              <w:jc w:val="center"/>
              <w:rPr>
                <w:rFonts w:ascii="Arial" w:hAnsi="Arial" w:cs="Arial"/>
                <w:sz w:val="20"/>
                <w:szCs w:val="20"/>
              </w:rPr>
            </w:pPr>
          </w:p>
        </w:tc>
        <w:tc>
          <w:tcPr>
            <w:tcW w:w="397" w:type="dxa"/>
          </w:tcPr>
          <w:p w:rsidR="00EB773E" w:rsidRPr="00EB773E" w:rsidRDefault="00EB773E" w:rsidP="008A2B7C">
            <w:pPr>
              <w:jc w:val="center"/>
              <w:rPr>
                <w:rFonts w:ascii="Arial" w:hAnsi="Arial" w:cs="Arial"/>
                <w:sz w:val="20"/>
                <w:szCs w:val="20"/>
              </w:rPr>
            </w:pPr>
          </w:p>
        </w:tc>
        <w:tc>
          <w:tcPr>
            <w:tcW w:w="553" w:type="dxa"/>
          </w:tcPr>
          <w:p w:rsidR="00EB773E" w:rsidRPr="00EB773E" w:rsidRDefault="00EB773E" w:rsidP="008A2B7C">
            <w:pPr>
              <w:jc w:val="center"/>
              <w:rPr>
                <w:rFonts w:ascii="Arial" w:hAnsi="Arial" w:cs="Arial"/>
                <w:sz w:val="20"/>
                <w:szCs w:val="20"/>
              </w:rPr>
            </w:pPr>
          </w:p>
        </w:tc>
        <w:tc>
          <w:tcPr>
            <w:tcW w:w="969" w:type="dxa"/>
          </w:tcPr>
          <w:p w:rsidR="00EB773E" w:rsidRPr="00EB773E" w:rsidRDefault="00EB773E" w:rsidP="008A2B7C">
            <w:pPr>
              <w:jc w:val="center"/>
              <w:rPr>
                <w:rFonts w:ascii="Arial" w:hAnsi="Arial" w:cs="Arial"/>
                <w:sz w:val="20"/>
                <w:szCs w:val="20"/>
              </w:rPr>
            </w:pPr>
          </w:p>
        </w:tc>
        <w:tc>
          <w:tcPr>
            <w:tcW w:w="1433" w:type="dxa"/>
          </w:tcPr>
          <w:p w:rsidR="00EB773E" w:rsidRPr="00EB773E" w:rsidRDefault="00EB773E" w:rsidP="008A2B7C">
            <w:pPr>
              <w:jc w:val="center"/>
              <w:rPr>
                <w:rFonts w:ascii="Arial" w:hAnsi="Arial" w:cs="Arial"/>
                <w:sz w:val="20"/>
                <w:szCs w:val="20"/>
              </w:rPr>
            </w:pPr>
          </w:p>
        </w:tc>
      </w:tr>
      <w:tr w:rsidR="00EB773E" w:rsidTr="00EB773E">
        <w:tc>
          <w:tcPr>
            <w:tcW w:w="1721" w:type="dxa"/>
          </w:tcPr>
          <w:p w:rsidR="00EB773E" w:rsidRPr="00EB773E" w:rsidRDefault="00EB773E" w:rsidP="008A2B7C">
            <w:pPr>
              <w:jc w:val="center"/>
              <w:rPr>
                <w:rFonts w:ascii="Arial" w:hAnsi="Arial" w:cs="Arial"/>
                <w:sz w:val="20"/>
                <w:szCs w:val="20"/>
              </w:rPr>
            </w:pPr>
          </w:p>
        </w:tc>
        <w:tc>
          <w:tcPr>
            <w:tcW w:w="542" w:type="dxa"/>
          </w:tcPr>
          <w:p w:rsidR="00EB773E" w:rsidRPr="00EB773E" w:rsidRDefault="00EB773E" w:rsidP="008A2B7C">
            <w:pPr>
              <w:jc w:val="center"/>
              <w:rPr>
                <w:rFonts w:ascii="Arial" w:hAnsi="Arial" w:cs="Arial"/>
                <w:sz w:val="20"/>
                <w:szCs w:val="20"/>
              </w:rPr>
            </w:pPr>
          </w:p>
        </w:tc>
        <w:tc>
          <w:tcPr>
            <w:tcW w:w="548" w:type="dxa"/>
          </w:tcPr>
          <w:p w:rsidR="00EB773E" w:rsidRPr="00EB773E" w:rsidRDefault="00EB773E" w:rsidP="008A2B7C">
            <w:pPr>
              <w:jc w:val="center"/>
              <w:rPr>
                <w:rFonts w:ascii="Arial" w:hAnsi="Arial" w:cs="Arial"/>
                <w:sz w:val="20"/>
                <w:szCs w:val="20"/>
              </w:rPr>
            </w:pPr>
          </w:p>
        </w:tc>
        <w:tc>
          <w:tcPr>
            <w:tcW w:w="531" w:type="dxa"/>
          </w:tcPr>
          <w:p w:rsidR="00EB773E" w:rsidRPr="00EB773E" w:rsidRDefault="00EB773E" w:rsidP="008A2B7C">
            <w:pPr>
              <w:jc w:val="center"/>
              <w:rPr>
                <w:rFonts w:ascii="Arial" w:hAnsi="Arial" w:cs="Arial"/>
                <w:sz w:val="20"/>
                <w:szCs w:val="20"/>
              </w:rPr>
            </w:pPr>
          </w:p>
        </w:tc>
        <w:tc>
          <w:tcPr>
            <w:tcW w:w="400" w:type="dxa"/>
          </w:tcPr>
          <w:p w:rsidR="00EB773E" w:rsidRPr="00EB773E" w:rsidRDefault="00EB773E" w:rsidP="008A2B7C">
            <w:pPr>
              <w:jc w:val="center"/>
              <w:rPr>
                <w:rFonts w:ascii="Arial" w:hAnsi="Arial" w:cs="Arial"/>
                <w:sz w:val="20"/>
                <w:szCs w:val="20"/>
              </w:rPr>
            </w:pPr>
          </w:p>
        </w:tc>
        <w:tc>
          <w:tcPr>
            <w:tcW w:w="384" w:type="dxa"/>
          </w:tcPr>
          <w:p w:rsidR="00EB773E" w:rsidRPr="00EB773E" w:rsidRDefault="00EB773E" w:rsidP="008A2B7C">
            <w:pPr>
              <w:jc w:val="center"/>
              <w:rPr>
                <w:rFonts w:ascii="Arial" w:hAnsi="Arial" w:cs="Arial"/>
                <w:sz w:val="20"/>
                <w:szCs w:val="20"/>
              </w:rPr>
            </w:pPr>
          </w:p>
        </w:tc>
        <w:tc>
          <w:tcPr>
            <w:tcW w:w="578" w:type="dxa"/>
          </w:tcPr>
          <w:p w:rsidR="00EB773E" w:rsidRPr="00EB773E" w:rsidRDefault="00EB773E" w:rsidP="008A2B7C">
            <w:pPr>
              <w:jc w:val="center"/>
              <w:rPr>
                <w:rFonts w:ascii="Arial" w:hAnsi="Arial" w:cs="Arial"/>
                <w:sz w:val="20"/>
                <w:szCs w:val="20"/>
              </w:rPr>
            </w:pPr>
          </w:p>
        </w:tc>
        <w:tc>
          <w:tcPr>
            <w:tcW w:w="524" w:type="dxa"/>
          </w:tcPr>
          <w:p w:rsidR="00EB773E" w:rsidRPr="00EB773E" w:rsidRDefault="00EB773E" w:rsidP="008A2B7C">
            <w:pPr>
              <w:jc w:val="center"/>
              <w:rPr>
                <w:rFonts w:ascii="Arial" w:hAnsi="Arial" w:cs="Arial"/>
                <w:sz w:val="20"/>
                <w:szCs w:val="20"/>
              </w:rPr>
            </w:pPr>
          </w:p>
        </w:tc>
        <w:tc>
          <w:tcPr>
            <w:tcW w:w="600" w:type="dxa"/>
          </w:tcPr>
          <w:p w:rsidR="00EB773E" w:rsidRPr="00EB773E" w:rsidRDefault="00EB773E" w:rsidP="008A2B7C">
            <w:pPr>
              <w:jc w:val="center"/>
              <w:rPr>
                <w:rFonts w:ascii="Arial" w:hAnsi="Arial" w:cs="Arial"/>
                <w:sz w:val="20"/>
                <w:szCs w:val="20"/>
              </w:rPr>
            </w:pPr>
          </w:p>
        </w:tc>
        <w:tc>
          <w:tcPr>
            <w:tcW w:w="397" w:type="dxa"/>
          </w:tcPr>
          <w:p w:rsidR="00EB773E" w:rsidRPr="00EB773E" w:rsidRDefault="00EB773E" w:rsidP="008A2B7C">
            <w:pPr>
              <w:jc w:val="center"/>
              <w:rPr>
                <w:rFonts w:ascii="Arial" w:hAnsi="Arial" w:cs="Arial"/>
                <w:sz w:val="20"/>
                <w:szCs w:val="20"/>
              </w:rPr>
            </w:pPr>
          </w:p>
        </w:tc>
        <w:tc>
          <w:tcPr>
            <w:tcW w:w="553" w:type="dxa"/>
          </w:tcPr>
          <w:p w:rsidR="00EB773E" w:rsidRPr="00EB773E" w:rsidRDefault="00EB773E" w:rsidP="008A2B7C">
            <w:pPr>
              <w:jc w:val="center"/>
              <w:rPr>
                <w:rFonts w:ascii="Arial" w:hAnsi="Arial" w:cs="Arial"/>
                <w:sz w:val="20"/>
                <w:szCs w:val="20"/>
              </w:rPr>
            </w:pPr>
          </w:p>
        </w:tc>
        <w:tc>
          <w:tcPr>
            <w:tcW w:w="969" w:type="dxa"/>
          </w:tcPr>
          <w:p w:rsidR="00EB773E" w:rsidRPr="00EB773E" w:rsidRDefault="00EB773E" w:rsidP="008A2B7C">
            <w:pPr>
              <w:jc w:val="center"/>
              <w:rPr>
                <w:rFonts w:ascii="Arial" w:hAnsi="Arial" w:cs="Arial"/>
                <w:sz w:val="20"/>
                <w:szCs w:val="20"/>
              </w:rPr>
            </w:pPr>
          </w:p>
        </w:tc>
        <w:tc>
          <w:tcPr>
            <w:tcW w:w="1433" w:type="dxa"/>
          </w:tcPr>
          <w:p w:rsidR="00EB773E" w:rsidRPr="00EB773E" w:rsidRDefault="00EB773E" w:rsidP="008A2B7C">
            <w:pPr>
              <w:jc w:val="center"/>
              <w:rPr>
                <w:rFonts w:ascii="Arial" w:hAnsi="Arial" w:cs="Arial"/>
                <w:sz w:val="20"/>
                <w:szCs w:val="20"/>
              </w:rPr>
            </w:pPr>
          </w:p>
        </w:tc>
      </w:tr>
    </w:tbl>
    <w:p w:rsidR="00266129" w:rsidRPr="00850242" w:rsidRDefault="00266129" w:rsidP="00504A83">
      <w:pPr>
        <w:spacing w:line="240" w:lineRule="auto"/>
        <w:rPr>
          <w:b/>
        </w:rPr>
      </w:pPr>
    </w:p>
    <w:p w:rsidR="00C07992" w:rsidRPr="00504A83" w:rsidRDefault="00C07992" w:rsidP="00504A83">
      <w:pPr>
        <w:spacing w:line="240" w:lineRule="auto"/>
        <w:rPr>
          <w:b/>
        </w:rPr>
      </w:pPr>
      <w:r w:rsidRPr="00504A83">
        <w:rPr>
          <w:b/>
        </w:rPr>
        <w:t xml:space="preserve">TYPE OF ASSESSMENT MEDIUM </w:t>
      </w:r>
    </w:p>
    <w:p w:rsidR="00850242" w:rsidRDefault="00850242" w:rsidP="00504A83">
      <w:pPr>
        <w:spacing w:line="240" w:lineRule="auto"/>
      </w:pPr>
      <w:r>
        <w:t>The centre uses the IMI Awards</w:t>
      </w:r>
      <w:r w:rsidR="00415641">
        <w:t xml:space="preserve"> </w:t>
      </w:r>
      <w:r>
        <w:t>paper based assessment materials for the above qualifications</w:t>
      </w:r>
      <w:r w:rsidR="00B05A38">
        <w:t xml:space="preserve"> / accreditations</w:t>
      </w:r>
      <w:r>
        <w:t xml:space="preserve"> and the IMI Awards eportfolio </w:t>
      </w:r>
    </w:p>
    <w:p w:rsidR="00D76403" w:rsidRPr="00504A83" w:rsidRDefault="00D76403" w:rsidP="00504A83">
      <w:pPr>
        <w:spacing w:line="240" w:lineRule="auto"/>
      </w:pPr>
      <w:r>
        <w:rPr>
          <w:b/>
        </w:rPr>
        <w:t xml:space="preserve">CENTRE CO-ORDINATOR NAME -  </w:t>
      </w:r>
    </w:p>
    <w:p w:rsidR="00E07A67" w:rsidRDefault="00E07A67" w:rsidP="00504A83">
      <w:pPr>
        <w:spacing w:line="240" w:lineRule="auto"/>
        <w:rPr>
          <w:b/>
        </w:rPr>
      </w:pPr>
      <w:r>
        <w:rPr>
          <w:b/>
        </w:rPr>
        <w:t xml:space="preserve">The </w:t>
      </w:r>
      <w:r w:rsidR="007B26D7">
        <w:rPr>
          <w:b/>
        </w:rPr>
        <w:t>C</w:t>
      </w:r>
      <w:r>
        <w:rPr>
          <w:b/>
        </w:rPr>
        <w:t xml:space="preserve">entre </w:t>
      </w:r>
      <w:r w:rsidR="007B26D7">
        <w:rPr>
          <w:b/>
        </w:rPr>
        <w:t>C</w:t>
      </w:r>
      <w:r w:rsidR="00EB0718">
        <w:rPr>
          <w:b/>
        </w:rPr>
        <w:t>o-ordinator / Lead IV will:</w:t>
      </w:r>
    </w:p>
    <w:p w:rsidR="00D76403" w:rsidRPr="007B26D7" w:rsidRDefault="008A2B7C" w:rsidP="007B26D7">
      <w:pPr>
        <w:pStyle w:val="ListParagraph"/>
        <w:numPr>
          <w:ilvl w:val="0"/>
          <w:numId w:val="10"/>
        </w:numPr>
        <w:spacing w:line="240" w:lineRule="auto"/>
      </w:pPr>
      <w:r>
        <w:t>Ensure that that all assessor</w:t>
      </w:r>
      <w:r w:rsidR="007B26D7">
        <w:t>s</w:t>
      </w:r>
      <w:r>
        <w:t xml:space="preserve"> and internal verifiers carry out and maintain suitable CPD in the areas that they are approved for. </w:t>
      </w:r>
      <w:r w:rsidR="00E07A67">
        <w:t>A</w:t>
      </w:r>
      <w:r w:rsidR="00D76403">
        <w:t xml:space="preserve">gree allocations of assessors and qualifications for each </w:t>
      </w:r>
      <w:r w:rsidR="007B26D7">
        <w:t>i</w:t>
      </w:r>
      <w:r w:rsidR="00D76403">
        <w:t xml:space="preserve">nternal </w:t>
      </w:r>
      <w:r w:rsidR="007B26D7">
        <w:t>v</w:t>
      </w:r>
      <w:r w:rsidR="00D76403">
        <w:t xml:space="preserve">erifier (i.e. Identify </w:t>
      </w:r>
      <w:r w:rsidR="00D76403" w:rsidRPr="007B26D7">
        <w:rPr>
          <w:rFonts w:cs="Arial"/>
        </w:rPr>
        <w:t xml:space="preserve">team members’ responsibilities for </w:t>
      </w:r>
      <w:r w:rsidR="007B26D7" w:rsidRPr="007B26D7">
        <w:rPr>
          <w:rFonts w:cs="Arial"/>
        </w:rPr>
        <w:t>specific</w:t>
      </w:r>
      <w:r w:rsidR="00D76403" w:rsidRPr="007B26D7">
        <w:rPr>
          <w:rFonts w:cs="Arial"/>
        </w:rPr>
        <w:t xml:space="preserve"> work activities) </w:t>
      </w:r>
      <w:r w:rsidR="00821BA1" w:rsidRPr="007B26D7">
        <w:rPr>
          <w:rFonts w:cs="Arial"/>
        </w:rPr>
        <w:t>prior</w:t>
      </w:r>
      <w:r w:rsidR="00D76403" w:rsidRPr="007B26D7">
        <w:rPr>
          <w:rFonts w:cs="Arial"/>
        </w:rPr>
        <w:t xml:space="preserve"> to the </w:t>
      </w:r>
      <w:r w:rsidR="00821BA1" w:rsidRPr="007B26D7">
        <w:rPr>
          <w:rFonts w:cs="Arial"/>
        </w:rPr>
        <w:t xml:space="preserve">start of the </w:t>
      </w:r>
      <w:r w:rsidR="00915567" w:rsidRPr="007B26D7">
        <w:rPr>
          <w:rFonts w:cs="Arial"/>
        </w:rPr>
        <w:t xml:space="preserve">planned period </w:t>
      </w:r>
      <w:r w:rsidR="009919B2" w:rsidRPr="007B26D7">
        <w:rPr>
          <w:rFonts w:cs="Arial"/>
          <w:color w:val="0070C0"/>
        </w:rPr>
        <w:t>(normally 1 year</w:t>
      </w:r>
      <w:r w:rsidR="00626B37">
        <w:rPr>
          <w:rFonts w:cs="Arial"/>
          <w:color w:val="0070C0"/>
        </w:rPr>
        <w:t xml:space="preserve"> or the period of the qualification</w:t>
      </w:r>
      <w:r w:rsidR="009919B2" w:rsidRPr="007B26D7">
        <w:rPr>
          <w:rFonts w:cs="Arial"/>
          <w:color w:val="0070C0"/>
        </w:rPr>
        <w:t>, however for some single unit and / or small qualifications this could be much less)</w:t>
      </w:r>
      <w:r w:rsidRPr="007B26D7">
        <w:rPr>
          <w:rFonts w:cs="Arial"/>
          <w:color w:val="00B0F0"/>
        </w:rPr>
        <w:t xml:space="preserve"> </w:t>
      </w:r>
      <w:r w:rsidR="00915567" w:rsidRPr="007B26D7">
        <w:rPr>
          <w:rFonts w:cs="Arial"/>
        </w:rPr>
        <w:t xml:space="preserve">the </w:t>
      </w:r>
      <w:r w:rsidR="00D76403" w:rsidRPr="007B26D7">
        <w:rPr>
          <w:rFonts w:cs="Arial"/>
        </w:rPr>
        <w:t xml:space="preserve">allocations should </w:t>
      </w:r>
      <w:r w:rsidR="00504A83" w:rsidRPr="007B26D7">
        <w:rPr>
          <w:rFonts w:cs="Arial"/>
        </w:rPr>
        <w:t>be reviewed</w:t>
      </w:r>
      <w:r w:rsidR="00DC0015" w:rsidRPr="007B26D7">
        <w:rPr>
          <w:rFonts w:cs="Arial"/>
        </w:rPr>
        <w:t xml:space="preserve"> </w:t>
      </w:r>
      <w:r w:rsidRPr="007B26D7">
        <w:rPr>
          <w:rFonts w:cs="Arial"/>
        </w:rPr>
        <w:t>throughout</w:t>
      </w:r>
      <w:r w:rsidR="00DC0015" w:rsidRPr="007B26D7">
        <w:rPr>
          <w:rFonts w:cs="Arial"/>
        </w:rPr>
        <w:t xml:space="preserve"> the year</w:t>
      </w:r>
      <w:r w:rsidR="00504A83" w:rsidRPr="007B26D7">
        <w:rPr>
          <w:rFonts w:cs="Arial"/>
        </w:rPr>
        <w:t xml:space="preserve"> if necessary</w:t>
      </w:r>
      <w:r w:rsidR="00D76403" w:rsidRPr="007B26D7">
        <w:rPr>
          <w:rFonts w:cs="Arial"/>
        </w:rPr>
        <w:t xml:space="preserve">.  </w:t>
      </w:r>
    </w:p>
    <w:p w:rsidR="007B26D7" w:rsidRPr="00D76403" w:rsidRDefault="007B26D7" w:rsidP="007B26D7">
      <w:pPr>
        <w:pStyle w:val="ListParagraph"/>
        <w:spacing w:line="240" w:lineRule="auto"/>
        <w:ind w:left="360"/>
      </w:pPr>
    </w:p>
    <w:p w:rsidR="00104EE6" w:rsidRPr="007B26D7" w:rsidRDefault="00D76403" w:rsidP="007B26D7">
      <w:pPr>
        <w:pStyle w:val="ListParagraph"/>
        <w:numPr>
          <w:ilvl w:val="0"/>
          <w:numId w:val="10"/>
        </w:numPr>
        <w:spacing w:line="240" w:lineRule="auto"/>
        <w:rPr>
          <w:rFonts w:cs="Arial"/>
        </w:rPr>
      </w:pPr>
      <w:r w:rsidRPr="007B26D7">
        <w:rPr>
          <w:rFonts w:cs="Arial"/>
        </w:rPr>
        <w:t xml:space="preserve">Agree </w:t>
      </w:r>
      <w:r w:rsidR="00504A83" w:rsidRPr="007B26D7">
        <w:rPr>
          <w:rFonts w:cs="Arial"/>
        </w:rPr>
        <w:t>internal</w:t>
      </w:r>
      <w:r w:rsidRPr="007B26D7">
        <w:rPr>
          <w:rFonts w:cs="Arial"/>
        </w:rPr>
        <w:t xml:space="preserve"> verification plans with each internal verifier prior to </w:t>
      </w:r>
      <w:r w:rsidR="00915567" w:rsidRPr="007B26D7">
        <w:rPr>
          <w:rFonts w:cs="Arial"/>
        </w:rPr>
        <w:t xml:space="preserve">the start of the planned period </w:t>
      </w:r>
      <w:r w:rsidR="00915567" w:rsidRPr="007B26D7">
        <w:rPr>
          <w:rFonts w:cs="Arial"/>
          <w:color w:val="0070C0"/>
        </w:rPr>
        <w:t>(normally 1 year</w:t>
      </w:r>
      <w:r w:rsidR="009919B2" w:rsidRPr="007B26D7">
        <w:rPr>
          <w:rFonts w:cs="Arial"/>
          <w:color w:val="0070C0"/>
        </w:rPr>
        <w:t>, however for some single unit and / or small qualifications this could be much less</w:t>
      </w:r>
      <w:r w:rsidR="00915567" w:rsidRPr="007B26D7">
        <w:rPr>
          <w:rFonts w:cs="Arial"/>
          <w:color w:val="0070C0"/>
        </w:rPr>
        <w:t>)</w:t>
      </w:r>
      <w:r w:rsidR="00104EE6" w:rsidRPr="007B26D7">
        <w:rPr>
          <w:rFonts w:cs="Arial"/>
          <w:color w:val="0070C0"/>
        </w:rPr>
        <w:t>.</w:t>
      </w:r>
    </w:p>
    <w:p w:rsidR="00D76403" w:rsidRDefault="00D76403" w:rsidP="007B26D7">
      <w:pPr>
        <w:pStyle w:val="ListParagraph"/>
        <w:numPr>
          <w:ilvl w:val="0"/>
          <w:numId w:val="10"/>
        </w:numPr>
        <w:spacing w:line="240" w:lineRule="auto"/>
        <w:rPr>
          <w:rFonts w:cs="Arial"/>
        </w:rPr>
      </w:pPr>
      <w:r w:rsidRPr="007B26D7">
        <w:rPr>
          <w:rFonts w:cs="Arial"/>
        </w:rPr>
        <w:lastRenderedPageBreak/>
        <w:t xml:space="preserve">Ensure each internal verifier </w:t>
      </w:r>
      <w:r w:rsidR="007B26D7" w:rsidRPr="007B26D7">
        <w:rPr>
          <w:rFonts w:cs="Arial"/>
        </w:rPr>
        <w:t>r</w:t>
      </w:r>
      <w:r w:rsidRPr="007B26D7">
        <w:rPr>
          <w:rFonts w:cs="Arial"/>
        </w:rPr>
        <w:t xml:space="preserve">isk </w:t>
      </w:r>
      <w:r w:rsidR="007B26D7" w:rsidRPr="007B26D7">
        <w:rPr>
          <w:rFonts w:cs="Arial"/>
        </w:rPr>
        <w:t>a</w:t>
      </w:r>
      <w:r w:rsidRPr="007B26D7">
        <w:rPr>
          <w:rFonts w:cs="Arial"/>
        </w:rPr>
        <w:t>ssesses each assessor they have responsibility for prior to</w:t>
      </w:r>
      <w:r w:rsidR="00290885" w:rsidRPr="007B26D7">
        <w:rPr>
          <w:rFonts w:cs="Arial"/>
        </w:rPr>
        <w:t xml:space="preserve"> the start of the planned period </w:t>
      </w:r>
      <w:r w:rsidRPr="007B26D7">
        <w:rPr>
          <w:rFonts w:cs="Arial"/>
        </w:rPr>
        <w:t xml:space="preserve">and agree the level of risk (using form </w:t>
      </w:r>
      <w:r w:rsidR="007B26D7" w:rsidRPr="007B26D7">
        <w:rPr>
          <w:rFonts w:cs="Arial"/>
        </w:rPr>
        <w:t>24</w:t>
      </w:r>
      <w:r w:rsidRPr="007B26D7">
        <w:rPr>
          <w:rFonts w:cs="Arial"/>
        </w:rPr>
        <w:t>)</w:t>
      </w:r>
      <w:r w:rsidR="007B26D7" w:rsidRPr="007B26D7">
        <w:rPr>
          <w:rFonts w:cs="Arial"/>
        </w:rPr>
        <w:t>.</w:t>
      </w:r>
      <w:r w:rsidRPr="007B26D7">
        <w:rPr>
          <w:rFonts w:cs="Arial"/>
        </w:rPr>
        <w:t xml:space="preserve"> </w:t>
      </w:r>
    </w:p>
    <w:p w:rsidR="007B26D7" w:rsidRPr="007B26D7" w:rsidRDefault="007B26D7" w:rsidP="007B26D7">
      <w:pPr>
        <w:pStyle w:val="ListParagraph"/>
        <w:spacing w:line="240" w:lineRule="auto"/>
        <w:ind w:left="360"/>
        <w:rPr>
          <w:rFonts w:cs="Arial"/>
        </w:rPr>
      </w:pPr>
    </w:p>
    <w:p w:rsidR="007B26D7" w:rsidRDefault="00EB0718" w:rsidP="007B26D7">
      <w:pPr>
        <w:pStyle w:val="ListParagraph"/>
        <w:numPr>
          <w:ilvl w:val="0"/>
          <w:numId w:val="10"/>
        </w:numPr>
        <w:spacing w:line="240" w:lineRule="auto"/>
        <w:rPr>
          <w:rFonts w:cs="Arial"/>
        </w:rPr>
      </w:pPr>
      <w:r>
        <w:rPr>
          <w:rFonts w:cs="Arial"/>
        </w:rPr>
        <w:t>Allocate</w:t>
      </w:r>
      <w:r w:rsidR="00D76403" w:rsidRPr="007B26D7">
        <w:rPr>
          <w:rFonts w:cs="Arial"/>
        </w:rPr>
        <w:t xml:space="preserve"> candidates to assessors</w:t>
      </w:r>
      <w:r>
        <w:rPr>
          <w:rFonts w:cs="Arial"/>
        </w:rPr>
        <w:t>.</w:t>
      </w:r>
      <w:r w:rsidR="00D76403" w:rsidRPr="007B26D7">
        <w:rPr>
          <w:rFonts w:cs="Arial"/>
        </w:rPr>
        <w:t xml:space="preserve"> </w:t>
      </w:r>
    </w:p>
    <w:p w:rsidR="007B26D7" w:rsidRPr="007B26D7" w:rsidRDefault="007B26D7" w:rsidP="007B26D7">
      <w:pPr>
        <w:pStyle w:val="ListParagraph"/>
        <w:rPr>
          <w:rFonts w:cs="Arial"/>
        </w:rPr>
      </w:pPr>
    </w:p>
    <w:p w:rsidR="007B26D7" w:rsidRDefault="00D76403" w:rsidP="007B26D7">
      <w:pPr>
        <w:pStyle w:val="ListParagraph"/>
        <w:numPr>
          <w:ilvl w:val="0"/>
          <w:numId w:val="10"/>
        </w:numPr>
        <w:spacing w:line="240" w:lineRule="auto"/>
        <w:rPr>
          <w:rFonts w:cs="Arial"/>
        </w:rPr>
      </w:pPr>
      <w:r w:rsidRPr="007B26D7">
        <w:rPr>
          <w:rFonts w:cs="Arial"/>
        </w:rPr>
        <w:t>Communicate any changes to the team members</w:t>
      </w:r>
      <w:r w:rsidR="00EB0718">
        <w:rPr>
          <w:rFonts w:cs="Arial"/>
        </w:rPr>
        <w:t>.</w:t>
      </w:r>
    </w:p>
    <w:p w:rsidR="007B26D7" w:rsidRPr="007B26D7" w:rsidRDefault="007B26D7" w:rsidP="007B26D7">
      <w:pPr>
        <w:pStyle w:val="ListParagraph"/>
        <w:rPr>
          <w:rFonts w:cs="Arial"/>
        </w:rPr>
      </w:pPr>
    </w:p>
    <w:p w:rsidR="00D76403" w:rsidRDefault="00E07A67" w:rsidP="007B26D7">
      <w:pPr>
        <w:pStyle w:val="ListParagraph"/>
        <w:numPr>
          <w:ilvl w:val="0"/>
          <w:numId w:val="10"/>
        </w:numPr>
        <w:spacing w:line="240" w:lineRule="auto"/>
        <w:rPr>
          <w:rFonts w:cs="Arial"/>
        </w:rPr>
      </w:pPr>
      <w:r w:rsidRPr="007B26D7">
        <w:rPr>
          <w:rFonts w:cs="Arial"/>
        </w:rPr>
        <w:t>Conduct standardisation meetings</w:t>
      </w:r>
      <w:r w:rsidR="00EB0718">
        <w:rPr>
          <w:rFonts w:cs="Arial"/>
        </w:rPr>
        <w:t>.</w:t>
      </w:r>
      <w:r w:rsidRPr="007B26D7">
        <w:rPr>
          <w:rFonts w:cs="Arial"/>
        </w:rPr>
        <w:t xml:space="preserve"> </w:t>
      </w:r>
    </w:p>
    <w:p w:rsidR="00EB0718" w:rsidRPr="00EB0718" w:rsidRDefault="00EB0718" w:rsidP="00EB0718">
      <w:pPr>
        <w:pStyle w:val="ListParagraph"/>
        <w:rPr>
          <w:rFonts w:cs="Arial"/>
        </w:rPr>
      </w:pPr>
    </w:p>
    <w:p w:rsidR="00EA3604" w:rsidRPr="00EB0718" w:rsidRDefault="00EA3604" w:rsidP="00EB0718">
      <w:pPr>
        <w:pStyle w:val="ListParagraph"/>
        <w:widowControl w:val="0"/>
        <w:numPr>
          <w:ilvl w:val="0"/>
          <w:numId w:val="10"/>
        </w:numPr>
        <w:spacing w:after="0" w:line="240" w:lineRule="auto"/>
        <w:rPr>
          <w:rFonts w:cstheme="minorHAnsi"/>
        </w:rPr>
      </w:pPr>
      <w:r w:rsidRPr="00EB0718">
        <w:rPr>
          <w:rFonts w:cstheme="minorHAnsi"/>
        </w:rPr>
        <w:t>Apply requirements for equality and diversity and, where appropriate, bilingualism, in relation to the internal quality assurance of assessment</w:t>
      </w:r>
      <w:r w:rsidR="00EB0718">
        <w:rPr>
          <w:rFonts w:cstheme="minorHAnsi"/>
        </w:rPr>
        <w:t>.</w:t>
      </w:r>
    </w:p>
    <w:p w:rsidR="00EA3604" w:rsidRDefault="00EA3604" w:rsidP="00504A83">
      <w:pPr>
        <w:spacing w:line="240" w:lineRule="auto"/>
        <w:rPr>
          <w:rFonts w:cs="Arial"/>
        </w:rPr>
      </w:pPr>
    </w:p>
    <w:p w:rsidR="00E07A67" w:rsidRPr="00E07A67" w:rsidRDefault="00E07A67" w:rsidP="00504A83">
      <w:pPr>
        <w:spacing w:line="240" w:lineRule="auto"/>
        <w:rPr>
          <w:b/>
        </w:rPr>
      </w:pPr>
      <w:r w:rsidRPr="00E07A67">
        <w:rPr>
          <w:rFonts w:cs="Arial"/>
          <w:b/>
        </w:rPr>
        <w:t xml:space="preserve">ASSESSORS </w:t>
      </w:r>
      <w:r w:rsidR="00043131">
        <w:rPr>
          <w:rFonts w:cs="Arial"/>
          <w:b/>
        </w:rPr>
        <w:t xml:space="preserve">(PP) </w:t>
      </w:r>
      <w:r w:rsidRPr="00E07A67">
        <w:rPr>
          <w:rFonts w:cs="Arial"/>
          <w:b/>
        </w:rPr>
        <w:t xml:space="preserve">ACTIVE WITHIN THE CENTRE </w:t>
      </w:r>
    </w:p>
    <w:tbl>
      <w:tblPr>
        <w:tblStyle w:val="TableGrid"/>
        <w:tblW w:w="0" w:type="auto"/>
        <w:tblLook w:val="04A0"/>
      </w:tblPr>
      <w:tblGrid>
        <w:gridCol w:w="1115"/>
        <w:gridCol w:w="1327"/>
        <w:gridCol w:w="909"/>
        <w:gridCol w:w="976"/>
        <w:gridCol w:w="884"/>
        <w:gridCol w:w="851"/>
        <w:gridCol w:w="850"/>
        <w:gridCol w:w="1276"/>
        <w:gridCol w:w="1054"/>
      </w:tblGrid>
      <w:tr w:rsidR="00B05A38" w:rsidTr="00F72B2A">
        <w:tc>
          <w:tcPr>
            <w:tcW w:w="1115" w:type="dxa"/>
            <w:vMerge w:val="restart"/>
          </w:tcPr>
          <w:p w:rsidR="00B05A38" w:rsidRDefault="00B05A38" w:rsidP="00504A83">
            <w:r>
              <w:t>Name</w:t>
            </w:r>
          </w:p>
        </w:tc>
        <w:tc>
          <w:tcPr>
            <w:tcW w:w="1327" w:type="dxa"/>
            <w:vMerge w:val="restart"/>
          </w:tcPr>
          <w:p w:rsidR="00B05A38" w:rsidRDefault="00B05A38" w:rsidP="00504A83">
            <w:r>
              <w:t>Assessor qualification</w:t>
            </w:r>
            <w:r w:rsidR="00290885">
              <w:t xml:space="preserve"> held</w:t>
            </w:r>
            <w:r>
              <w:t xml:space="preserve"> </w:t>
            </w:r>
            <w:r w:rsidR="00104EE6">
              <w:t xml:space="preserve">or working towards </w:t>
            </w:r>
            <w:r w:rsidR="00906A51">
              <w:t>(WT)</w:t>
            </w:r>
          </w:p>
        </w:tc>
        <w:tc>
          <w:tcPr>
            <w:tcW w:w="6800" w:type="dxa"/>
            <w:gridSpan w:val="7"/>
            <w:vAlign w:val="center"/>
          </w:tcPr>
          <w:p w:rsidR="00B05A38" w:rsidRDefault="00B05A38" w:rsidP="00906A51">
            <w:pPr>
              <w:jc w:val="center"/>
            </w:pPr>
            <w:r>
              <w:t>Qualifications / Accreditations Currently Assess</w:t>
            </w:r>
            <w:r w:rsidR="00906A51">
              <w:t>ing</w:t>
            </w:r>
          </w:p>
        </w:tc>
      </w:tr>
      <w:tr w:rsidR="006A6017" w:rsidTr="00F72B2A">
        <w:tc>
          <w:tcPr>
            <w:tcW w:w="1115" w:type="dxa"/>
            <w:vMerge/>
          </w:tcPr>
          <w:p w:rsidR="006A6017" w:rsidRDefault="006A6017" w:rsidP="00504A83"/>
        </w:tc>
        <w:tc>
          <w:tcPr>
            <w:tcW w:w="1327" w:type="dxa"/>
            <w:vMerge/>
          </w:tcPr>
          <w:p w:rsidR="006A6017" w:rsidRDefault="006A6017" w:rsidP="00504A83"/>
        </w:tc>
        <w:tc>
          <w:tcPr>
            <w:tcW w:w="909" w:type="dxa"/>
          </w:tcPr>
          <w:p w:rsidR="006A6017" w:rsidRDefault="006A6017" w:rsidP="00800912">
            <w:r>
              <w:t>VRQ</w:t>
            </w:r>
          </w:p>
        </w:tc>
        <w:tc>
          <w:tcPr>
            <w:tcW w:w="976" w:type="dxa"/>
          </w:tcPr>
          <w:p w:rsidR="006A6017" w:rsidRDefault="00D139B6" w:rsidP="00800912">
            <w:r>
              <w:t xml:space="preserve">JPK </w:t>
            </w:r>
          </w:p>
        </w:tc>
        <w:tc>
          <w:tcPr>
            <w:tcW w:w="884" w:type="dxa"/>
          </w:tcPr>
          <w:p w:rsidR="006A6017" w:rsidRDefault="006A6017" w:rsidP="00800912"/>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290885"/>
        </w:tc>
      </w:tr>
      <w:tr w:rsidR="006A6017" w:rsidTr="00F72B2A">
        <w:tc>
          <w:tcPr>
            <w:tcW w:w="1115" w:type="dxa"/>
          </w:tcPr>
          <w:p w:rsidR="006A6017" w:rsidRDefault="006A6017" w:rsidP="00504A83"/>
        </w:tc>
        <w:tc>
          <w:tcPr>
            <w:tcW w:w="1327" w:type="dxa"/>
          </w:tcPr>
          <w:p w:rsidR="006A6017" w:rsidRDefault="006A6017" w:rsidP="00504A83"/>
        </w:tc>
        <w:tc>
          <w:tcPr>
            <w:tcW w:w="909" w:type="dxa"/>
          </w:tcPr>
          <w:p w:rsidR="006A6017" w:rsidRDefault="006A6017" w:rsidP="00504A83"/>
        </w:tc>
        <w:tc>
          <w:tcPr>
            <w:tcW w:w="976" w:type="dxa"/>
          </w:tcPr>
          <w:p w:rsidR="006A6017" w:rsidRDefault="006A6017" w:rsidP="00504A83"/>
        </w:tc>
        <w:tc>
          <w:tcPr>
            <w:tcW w:w="884" w:type="dxa"/>
          </w:tcPr>
          <w:p w:rsidR="006A6017" w:rsidRDefault="006A6017" w:rsidP="00504A83"/>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504A83"/>
        </w:tc>
      </w:tr>
      <w:tr w:rsidR="006A6017" w:rsidTr="00F72B2A">
        <w:tc>
          <w:tcPr>
            <w:tcW w:w="1115" w:type="dxa"/>
          </w:tcPr>
          <w:p w:rsidR="006A6017" w:rsidRDefault="006A6017" w:rsidP="00504A83"/>
        </w:tc>
        <w:tc>
          <w:tcPr>
            <w:tcW w:w="1327" w:type="dxa"/>
          </w:tcPr>
          <w:p w:rsidR="006A6017" w:rsidRDefault="006A6017" w:rsidP="00504A83"/>
        </w:tc>
        <w:tc>
          <w:tcPr>
            <w:tcW w:w="909" w:type="dxa"/>
          </w:tcPr>
          <w:p w:rsidR="006A6017" w:rsidRDefault="006A6017" w:rsidP="00504A83"/>
        </w:tc>
        <w:tc>
          <w:tcPr>
            <w:tcW w:w="976" w:type="dxa"/>
          </w:tcPr>
          <w:p w:rsidR="006A6017" w:rsidRDefault="006A6017" w:rsidP="00504A83"/>
        </w:tc>
        <w:tc>
          <w:tcPr>
            <w:tcW w:w="884" w:type="dxa"/>
          </w:tcPr>
          <w:p w:rsidR="006A6017" w:rsidRDefault="006A6017" w:rsidP="00504A83"/>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504A83"/>
        </w:tc>
      </w:tr>
      <w:tr w:rsidR="006A6017" w:rsidTr="00F72B2A">
        <w:tc>
          <w:tcPr>
            <w:tcW w:w="1115" w:type="dxa"/>
          </w:tcPr>
          <w:p w:rsidR="006A6017" w:rsidRDefault="006A6017" w:rsidP="00504A83"/>
        </w:tc>
        <w:tc>
          <w:tcPr>
            <w:tcW w:w="1327" w:type="dxa"/>
          </w:tcPr>
          <w:p w:rsidR="006A6017" w:rsidRDefault="006A6017" w:rsidP="00504A83"/>
        </w:tc>
        <w:tc>
          <w:tcPr>
            <w:tcW w:w="909" w:type="dxa"/>
          </w:tcPr>
          <w:p w:rsidR="006A6017" w:rsidRDefault="006A6017" w:rsidP="00504A83"/>
        </w:tc>
        <w:tc>
          <w:tcPr>
            <w:tcW w:w="976" w:type="dxa"/>
          </w:tcPr>
          <w:p w:rsidR="006A6017" w:rsidRDefault="006A6017" w:rsidP="00504A83"/>
        </w:tc>
        <w:tc>
          <w:tcPr>
            <w:tcW w:w="884" w:type="dxa"/>
          </w:tcPr>
          <w:p w:rsidR="006A6017" w:rsidRDefault="006A6017" w:rsidP="00504A83"/>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504A83"/>
        </w:tc>
      </w:tr>
      <w:tr w:rsidR="006A6017" w:rsidTr="00F72B2A">
        <w:tc>
          <w:tcPr>
            <w:tcW w:w="1115" w:type="dxa"/>
          </w:tcPr>
          <w:p w:rsidR="006A6017" w:rsidRDefault="006A6017" w:rsidP="00504A83"/>
        </w:tc>
        <w:tc>
          <w:tcPr>
            <w:tcW w:w="1327" w:type="dxa"/>
          </w:tcPr>
          <w:p w:rsidR="006A6017" w:rsidRDefault="006A6017" w:rsidP="00504A83"/>
        </w:tc>
        <w:tc>
          <w:tcPr>
            <w:tcW w:w="909" w:type="dxa"/>
          </w:tcPr>
          <w:p w:rsidR="006A6017" w:rsidRDefault="006A6017" w:rsidP="00504A83"/>
        </w:tc>
        <w:tc>
          <w:tcPr>
            <w:tcW w:w="976" w:type="dxa"/>
          </w:tcPr>
          <w:p w:rsidR="006A6017" w:rsidRDefault="006A6017" w:rsidP="00504A83"/>
        </w:tc>
        <w:tc>
          <w:tcPr>
            <w:tcW w:w="884" w:type="dxa"/>
          </w:tcPr>
          <w:p w:rsidR="006A6017" w:rsidRDefault="006A6017" w:rsidP="00504A83"/>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504A83"/>
        </w:tc>
      </w:tr>
      <w:tr w:rsidR="006A6017" w:rsidTr="00F72B2A">
        <w:tc>
          <w:tcPr>
            <w:tcW w:w="1115" w:type="dxa"/>
          </w:tcPr>
          <w:p w:rsidR="006A6017" w:rsidRDefault="006A6017" w:rsidP="00504A83"/>
        </w:tc>
        <w:tc>
          <w:tcPr>
            <w:tcW w:w="1327" w:type="dxa"/>
          </w:tcPr>
          <w:p w:rsidR="006A6017" w:rsidRDefault="006A6017" w:rsidP="00504A83"/>
        </w:tc>
        <w:tc>
          <w:tcPr>
            <w:tcW w:w="909" w:type="dxa"/>
          </w:tcPr>
          <w:p w:rsidR="006A6017" w:rsidRDefault="006A6017" w:rsidP="00504A83"/>
        </w:tc>
        <w:tc>
          <w:tcPr>
            <w:tcW w:w="976" w:type="dxa"/>
          </w:tcPr>
          <w:p w:rsidR="006A6017" w:rsidRDefault="006A6017" w:rsidP="00504A83"/>
        </w:tc>
        <w:tc>
          <w:tcPr>
            <w:tcW w:w="884" w:type="dxa"/>
          </w:tcPr>
          <w:p w:rsidR="006A6017" w:rsidRDefault="006A6017" w:rsidP="00504A83"/>
        </w:tc>
        <w:tc>
          <w:tcPr>
            <w:tcW w:w="851" w:type="dxa"/>
          </w:tcPr>
          <w:p w:rsidR="006A6017" w:rsidRDefault="006A6017" w:rsidP="00504A83"/>
        </w:tc>
        <w:tc>
          <w:tcPr>
            <w:tcW w:w="850" w:type="dxa"/>
          </w:tcPr>
          <w:p w:rsidR="006A6017" w:rsidRDefault="006A6017" w:rsidP="00504A83"/>
        </w:tc>
        <w:tc>
          <w:tcPr>
            <w:tcW w:w="1276" w:type="dxa"/>
          </w:tcPr>
          <w:p w:rsidR="006A6017" w:rsidRDefault="006A6017" w:rsidP="00504A83"/>
        </w:tc>
        <w:tc>
          <w:tcPr>
            <w:tcW w:w="1054" w:type="dxa"/>
          </w:tcPr>
          <w:p w:rsidR="006A6017" w:rsidRDefault="006A6017" w:rsidP="00504A83"/>
        </w:tc>
      </w:tr>
    </w:tbl>
    <w:p w:rsidR="00E07A67" w:rsidRDefault="00E07A67" w:rsidP="00504A83">
      <w:pPr>
        <w:spacing w:line="240" w:lineRule="auto"/>
      </w:pPr>
    </w:p>
    <w:p w:rsidR="00E07A67" w:rsidRDefault="00E07A67" w:rsidP="00504A83">
      <w:pPr>
        <w:spacing w:line="240" w:lineRule="auto"/>
      </w:pPr>
      <w:r>
        <w:t xml:space="preserve">Assessors will agree the risk assessment with their allocated </w:t>
      </w:r>
      <w:r w:rsidR="00EB0718">
        <w:t>i</w:t>
      </w:r>
      <w:r>
        <w:t xml:space="preserve">nternal </w:t>
      </w:r>
      <w:r w:rsidR="00EB0718">
        <w:t>v</w:t>
      </w:r>
      <w:r>
        <w:t>erif</w:t>
      </w:r>
      <w:r w:rsidR="00D86748">
        <w:t xml:space="preserve">ier and ensure activity is internally verified in line with the internal verification plan. </w:t>
      </w:r>
    </w:p>
    <w:p w:rsidR="00266129" w:rsidRPr="00D86748" w:rsidRDefault="00266129" w:rsidP="00504A83">
      <w:pPr>
        <w:spacing w:line="240" w:lineRule="auto"/>
        <w:rPr>
          <w:b/>
        </w:rPr>
      </w:pPr>
      <w:r w:rsidRPr="00D86748">
        <w:rPr>
          <w:b/>
        </w:rPr>
        <w:t xml:space="preserve">INTERNAL </w:t>
      </w:r>
      <w:proofErr w:type="gramStart"/>
      <w:r w:rsidRPr="00D86748">
        <w:rPr>
          <w:b/>
        </w:rPr>
        <w:t>VERFIERS</w:t>
      </w:r>
      <w:r w:rsidR="00043131">
        <w:rPr>
          <w:b/>
        </w:rPr>
        <w:t xml:space="preserve">  (</w:t>
      </w:r>
      <w:proofErr w:type="gramEnd"/>
      <w:r w:rsidR="00043131">
        <w:rPr>
          <w:b/>
        </w:rPr>
        <w:t>PPD)</w:t>
      </w:r>
    </w:p>
    <w:tbl>
      <w:tblPr>
        <w:tblStyle w:val="TableGrid"/>
        <w:tblW w:w="0" w:type="auto"/>
        <w:tblLook w:val="04A0"/>
      </w:tblPr>
      <w:tblGrid>
        <w:gridCol w:w="1124"/>
        <w:gridCol w:w="1412"/>
        <w:gridCol w:w="903"/>
        <w:gridCol w:w="980"/>
        <w:gridCol w:w="840"/>
        <w:gridCol w:w="841"/>
        <w:gridCol w:w="840"/>
        <w:gridCol w:w="1218"/>
        <w:gridCol w:w="1084"/>
      </w:tblGrid>
      <w:tr w:rsidR="00504A83" w:rsidTr="006A6017">
        <w:tc>
          <w:tcPr>
            <w:tcW w:w="1124" w:type="dxa"/>
            <w:vMerge w:val="restart"/>
          </w:tcPr>
          <w:p w:rsidR="00B05A38" w:rsidRDefault="00B05A38" w:rsidP="00504A83">
            <w:r>
              <w:t>Name</w:t>
            </w:r>
          </w:p>
        </w:tc>
        <w:tc>
          <w:tcPr>
            <w:tcW w:w="1412" w:type="dxa"/>
            <w:vMerge w:val="restart"/>
          </w:tcPr>
          <w:p w:rsidR="00B05A38" w:rsidRDefault="00906A51" w:rsidP="00906A51">
            <w:r>
              <w:t>IV</w:t>
            </w:r>
            <w:r w:rsidR="00B05A38">
              <w:t xml:space="preserve"> qualification</w:t>
            </w:r>
            <w:r>
              <w:t xml:space="preserve"> held/working towards (WT)</w:t>
            </w:r>
          </w:p>
        </w:tc>
        <w:tc>
          <w:tcPr>
            <w:tcW w:w="6706" w:type="dxa"/>
            <w:gridSpan w:val="7"/>
            <w:vAlign w:val="center"/>
          </w:tcPr>
          <w:p w:rsidR="00B05A38" w:rsidRDefault="00B05A38" w:rsidP="00906A51">
            <w:pPr>
              <w:jc w:val="center"/>
            </w:pPr>
            <w:r>
              <w:t xml:space="preserve">Qualifications / Accreditations Currently </w:t>
            </w:r>
            <w:r w:rsidR="00906A51">
              <w:t>verifying</w:t>
            </w:r>
            <w:r w:rsidR="00FF4856">
              <w:t xml:space="preserve"> </w:t>
            </w:r>
          </w:p>
        </w:tc>
      </w:tr>
      <w:tr w:rsidR="006A6017" w:rsidTr="006A6017">
        <w:tc>
          <w:tcPr>
            <w:tcW w:w="1124" w:type="dxa"/>
            <w:vMerge/>
          </w:tcPr>
          <w:p w:rsidR="006A6017" w:rsidRDefault="006A6017" w:rsidP="00504A83"/>
        </w:tc>
        <w:tc>
          <w:tcPr>
            <w:tcW w:w="1412" w:type="dxa"/>
            <w:vMerge/>
          </w:tcPr>
          <w:p w:rsidR="006A6017" w:rsidRDefault="006A6017" w:rsidP="00504A83"/>
        </w:tc>
        <w:tc>
          <w:tcPr>
            <w:tcW w:w="903" w:type="dxa"/>
          </w:tcPr>
          <w:p w:rsidR="006A6017" w:rsidRDefault="006A6017" w:rsidP="00800912">
            <w:r>
              <w:t>VRQ</w:t>
            </w:r>
          </w:p>
        </w:tc>
        <w:tc>
          <w:tcPr>
            <w:tcW w:w="980" w:type="dxa"/>
          </w:tcPr>
          <w:p w:rsidR="006A6017" w:rsidRDefault="006A6017" w:rsidP="00800912">
            <w:r>
              <w:t>QAA</w:t>
            </w:r>
          </w:p>
        </w:tc>
        <w:tc>
          <w:tcPr>
            <w:tcW w:w="840" w:type="dxa"/>
          </w:tcPr>
          <w:p w:rsidR="006A6017" w:rsidRDefault="006A6017" w:rsidP="00800912"/>
        </w:tc>
        <w:tc>
          <w:tcPr>
            <w:tcW w:w="841" w:type="dxa"/>
          </w:tcPr>
          <w:p w:rsidR="006A6017" w:rsidRDefault="006A6017" w:rsidP="00504A83"/>
        </w:tc>
        <w:tc>
          <w:tcPr>
            <w:tcW w:w="840" w:type="dxa"/>
          </w:tcPr>
          <w:p w:rsidR="006A6017" w:rsidRDefault="006A6017" w:rsidP="00504A83"/>
        </w:tc>
        <w:tc>
          <w:tcPr>
            <w:tcW w:w="1218" w:type="dxa"/>
          </w:tcPr>
          <w:p w:rsidR="006A6017" w:rsidRDefault="006A6017" w:rsidP="00504A83"/>
        </w:tc>
        <w:tc>
          <w:tcPr>
            <w:tcW w:w="1084" w:type="dxa"/>
          </w:tcPr>
          <w:p w:rsidR="006A6017" w:rsidRDefault="006A6017" w:rsidP="00303CBF"/>
        </w:tc>
      </w:tr>
      <w:tr w:rsidR="006A6017" w:rsidTr="006A6017">
        <w:tc>
          <w:tcPr>
            <w:tcW w:w="1124" w:type="dxa"/>
          </w:tcPr>
          <w:p w:rsidR="006A6017" w:rsidRDefault="006A6017" w:rsidP="00504A83"/>
        </w:tc>
        <w:tc>
          <w:tcPr>
            <w:tcW w:w="1412" w:type="dxa"/>
          </w:tcPr>
          <w:p w:rsidR="006A6017" w:rsidRDefault="006A6017" w:rsidP="00504A83"/>
        </w:tc>
        <w:tc>
          <w:tcPr>
            <w:tcW w:w="903" w:type="dxa"/>
          </w:tcPr>
          <w:p w:rsidR="006A6017" w:rsidRDefault="006A6017" w:rsidP="00504A83"/>
        </w:tc>
        <w:tc>
          <w:tcPr>
            <w:tcW w:w="980" w:type="dxa"/>
          </w:tcPr>
          <w:p w:rsidR="006A6017" w:rsidRDefault="006A6017" w:rsidP="00504A83"/>
        </w:tc>
        <w:tc>
          <w:tcPr>
            <w:tcW w:w="840" w:type="dxa"/>
          </w:tcPr>
          <w:p w:rsidR="006A6017" w:rsidRDefault="006A6017" w:rsidP="00504A83"/>
        </w:tc>
        <w:tc>
          <w:tcPr>
            <w:tcW w:w="841" w:type="dxa"/>
          </w:tcPr>
          <w:p w:rsidR="006A6017" w:rsidRDefault="006A6017" w:rsidP="00504A83"/>
        </w:tc>
        <w:tc>
          <w:tcPr>
            <w:tcW w:w="840" w:type="dxa"/>
          </w:tcPr>
          <w:p w:rsidR="006A6017" w:rsidRDefault="006A6017" w:rsidP="00504A83"/>
        </w:tc>
        <w:tc>
          <w:tcPr>
            <w:tcW w:w="1218" w:type="dxa"/>
          </w:tcPr>
          <w:p w:rsidR="006A6017" w:rsidRDefault="006A6017" w:rsidP="00504A83"/>
        </w:tc>
        <w:tc>
          <w:tcPr>
            <w:tcW w:w="1084" w:type="dxa"/>
          </w:tcPr>
          <w:p w:rsidR="006A6017" w:rsidRDefault="006A6017" w:rsidP="00504A83"/>
        </w:tc>
      </w:tr>
      <w:tr w:rsidR="006A6017" w:rsidTr="006A6017">
        <w:tc>
          <w:tcPr>
            <w:tcW w:w="1124" w:type="dxa"/>
          </w:tcPr>
          <w:p w:rsidR="006A6017" w:rsidRDefault="006A6017" w:rsidP="00504A83"/>
        </w:tc>
        <w:tc>
          <w:tcPr>
            <w:tcW w:w="1412" w:type="dxa"/>
          </w:tcPr>
          <w:p w:rsidR="006A6017" w:rsidRDefault="006A6017" w:rsidP="00504A83"/>
        </w:tc>
        <w:tc>
          <w:tcPr>
            <w:tcW w:w="903" w:type="dxa"/>
          </w:tcPr>
          <w:p w:rsidR="006A6017" w:rsidRDefault="006A6017" w:rsidP="00504A83"/>
        </w:tc>
        <w:tc>
          <w:tcPr>
            <w:tcW w:w="980" w:type="dxa"/>
          </w:tcPr>
          <w:p w:rsidR="006A6017" w:rsidRDefault="006A6017" w:rsidP="00504A83"/>
        </w:tc>
        <w:tc>
          <w:tcPr>
            <w:tcW w:w="840" w:type="dxa"/>
          </w:tcPr>
          <w:p w:rsidR="006A6017" w:rsidRDefault="006A6017" w:rsidP="00504A83"/>
        </w:tc>
        <w:tc>
          <w:tcPr>
            <w:tcW w:w="841" w:type="dxa"/>
          </w:tcPr>
          <w:p w:rsidR="006A6017" w:rsidRDefault="006A6017" w:rsidP="00504A83"/>
        </w:tc>
        <w:tc>
          <w:tcPr>
            <w:tcW w:w="840" w:type="dxa"/>
          </w:tcPr>
          <w:p w:rsidR="006A6017" w:rsidRDefault="006A6017" w:rsidP="00504A83"/>
        </w:tc>
        <w:tc>
          <w:tcPr>
            <w:tcW w:w="1218" w:type="dxa"/>
          </w:tcPr>
          <w:p w:rsidR="006A6017" w:rsidRDefault="006A6017" w:rsidP="00504A83"/>
        </w:tc>
        <w:tc>
          <w:tcPr>
            <w:tcW w:w="1084" w:type="dxa"/>
          </w:tcPr>
          <w:p w:rsidR="006A6017" w:rsidRDefault="006A6017" w:rsidP="00504A83"/>
        </w:tc>
      </w:tr>
      <w:tr w:rsidR="006A6017" w:rsidTr="006A6017">
        <w:tc>
          <w:tcPr>
            <w:tcW w:w="1124" w:type="dxa"/>
          </w:tcPr>
          <w:p w:rsidR="006A6017" w:rsidRDefault="006A6017" w:rsidP="00504A83"/>
        </w:tc>
        <w:tc>
          <w:tcPr>
            <w:tcW w:w="1412" w:type="dxa"/>
          </w:tcPr>
          <w:p w:rsidR="006A6017" w:rsidRDefault="006A6017" w:rsidP="00504A83"/>
        </w:tc>
        <w:tc>
          <w:tcPr>
            <w:tcW w:w="903" w:type="dxa"/>
          </w:tcPr>
          <w:p w:rsidR="006A6017" w:rsidRDefault="006A6017" w:rsidP="00504A83"/>
        </w:tc>
        <w:tc>
          <w:tcPr>
            <w:tcW w:w="980" w:type="dxa"/>
          </w:tcPr>
          <w:p w:rsidR="006A6017" w:rsidRDefault="006A6017" w:rsidP="00504A83"/>
        </w:tc>
        <w:tc>
          <w:tcPr>
            <w:tcW w:w="840" w:type="dxa"/>
          </w:tcPr>
          <w:p w:rsidR="006A6017" w:rsidRDefault="006A6017" w:rsidP="00504A83"/>
        </w:tc>
        <w:tc>
          <w:tcPr>
            <w:tcW w:w="841" w:type="dxa"/>
          </w:tcPr>
          <w:p w:rsidR="006A6017" w:rsidRDefault="006A6017" w:rsidP="00504A83"/>
        </w:tc>
        <w:tc>
          <w:tcPr>
            <w:tcW w:w="840" w:type="dxa"/>
          </w:tcPr>
          <w:p w:rsidR="006A6017" w:rsidRDefault="006A6017" w:rsidP="00504A83"/>
        </w:tc>
        <w:tc>
          <w:tcPr>
            <w:tcW w:w="1218" w:type="dxa"/>
          </w:tcPr>
          <w:p w:rsidR="006A6017" w:rsidRDefault="006A6017" w:rsidP="00504A83"/>
        </w:tc>
        <w:tc>
          <w:tcPr>
            <w:tcW w:w="1084" w:type="dxa"/>
          </w:tcPr>
          <w:p w:rsidR="006A6017" w:rsidRDefault="006A6017" w:rsidP="00504A83"/>
        </w:tc>
      </w:tr>
    </w:tbl>
    <w:p w:rsidR="00B05A38" w:rsidRDefault="00B05A38" w:rsidP="00504A83">
      <w:pPr>
        <w:spacing w:line="240" w:lineRule="auto"/>
      </w:pPr>
    </w:p>
    <w:p w:rsidR="00EA3604" w:rsidRPr="00504A83" w:rsidRDefault="00EB0718" w:rsidP="00504A83">
      <w:pPr>
        <w:spacing w:line="240" w:lineRule="auto"/>
        <w:rPr>
          <w:b/>
        </w:rPr>
      </w:pPr>
      <w:r>
        <w:rPr>
          <w:b/>
        </w:rPr>
        <w:t>Internal Verifiers will:</w:t>
      </w:r>
    </w:p>
    <w:p w:rsidR="00E90718" w:rsidRPr="00EB0718" w:rsidRDefault="00E90718" w:rsidP="00EB0718">
      <w:pPr>
        <w:pStyle w:val="ListParagraph"/>
        <w:widowControl w:val="0"/>
        <w:numPr>
          <w:ilvl w:val="0"/>
          <w:numId w:val="11"/>
        </w:numPr>
        <w:spacing w:after="0" w:line="240" w:lineRule="auto"/>
        <w:rPr>
          <w:rFonts w:cstheme="minorHAnsi"/>
        </w:rPr>
      </w:pPr>
      <w:r w:rsidRPr="00EB0718">
        <w:rPr>
          <w:rFonts w:cstheme="minorHAnsi"/>
        </w:rPr>
        <w:t>Evaluate assessor expertise and competence in relation to the requirements of their role</w:t>
      </w:r>
      <w:r w:rsidR="00EB0718">
        <w:rPr>
          <w:rFonts w:cstheme="minorHAnsi"/>
        </w:rPr>
        <w:t>.</w:t>
      </w:r>
      <w:r w:rsidRPr="00EB0718">
        <w:rPr>
          <w:rFonts w:cstheme="minorHAnsi"/>
        </w:rPr>
        <w:t xml:space="preserve"> </w:t>
      </w:r>
    </w:p>
    <w:p w:rsidR="00E90718" w:rsidRDefault="00E90718" w:rsidP="00504A83">
      <w:pPr>
        <w:widowControl w:val="0"/>
        <w:spacing w:after="0" w:line="240" w:lineRule="auto"/>
        <w:rPr>
          <w:rFonts w:cstheme="minorHAnsi"/>
        </w:rPr>
      </w:pPr>
    </w:p>
    <w:p w:rsidR="00EA3604" w:rsidRPr="00EB0718" w:rsidRDefault="00EA3604" w:rsidP="00EB0718">
      <w:pPr>
        <w:pStyle w:val="ListParagraph"/>
        <w:widowControl w:val="0"/>
        <w:numPr>
          <w:ilvl w:val="0"/>
          <w:numId w:val="11"/>
        </w:numPr>
        <w:spacing w:after="0" w:line="240" w:lineRule="auto"/>
        <w:rPr>
          <w:rFonts w:cstheme="minorHAnsi"/>
        </w:rPr>
      </w:pPr>
      <w:r w:rsidRPr="00EB0718">
        <w:rPr>
          <w:rFonts w:cstheme="minorHAnsi"/>
        </w:rPr>
        <w:t xml:space="preserve">Determine whether decisions are made using the specified criteria within the relevant assessment strategy and operating manual. </w:t>
      </w:r>
    </w:p>
    <w:p w:rsidR="00E90718" w:rsidRDefault="00E90718" w:rsidP="00504A83">
      <w:pPr>
        <w:widowControl w:val="0"/>
        <w:spacing w:after="0" w:line="240" w:lineRule="auto"/>
        <w:rPr>
          <w:rFonts w:cstheme="minorHAnsi"/>
        </w:rPr>
      </w:pPr>
    </w:p>
    <w:p w:rsidR="00E90718" w:rsidRPr="00EB0718" w:rsidRDefault="00E90718" w:rsidP="00EB0718">
      <w:pPr>
        <w:pStyle w:val="ListParagraph"/>
        <w:widowControl w:val="0"/>
        <w:numPr>
          <w:ilvl w:val="0"/>
          <w:numId w:val="11"/>
        </w:numPr>
        <w:spacing w:after="0" w:line="240" w:lineRule="auto"/>
        <w:rPr>
          <w:rFonts w:cstheme="minorHAnsi"/>
        </w:rPr>
      </w:pPr>
      <w:r w:rsidRPr="00EB0718">
        <w:rPr>
          <w:rFonts w:cstheme="minorHAnsi"/>
        </w:rPr>
        <w:t>Determine whether assessment methods are s</w:t>
      </w:r>
      <w:r w:rsidR="000B299F" w:rsidRPr="00EB0718">
        <w:rPr>
          <w:rFonts w:cstheme="minorHAnsi"/>
        </w:rPr>
        <w:t>ufficient</w:t>
      </w:r>
      <w:r w:rsidRPr="00EB0718">
        <w:rPr>
          <w:rFonts w:cstheme="minorHAnsi"/>
        </w:rPr>
        <w:t>, fair, valid and reliable</w:t>
      </w:r>
      <w:r w:rsidR="00EB0718">
        <w:rPr>
          <w:rFonts w:cstheme="minorHAnsi"/>
        </w:rPr>
        <w:t>.</w:t>
      </w:r>
    </w:p>
    <w:p w:rsidR="00504A83" w:rsidRPr="00504A83" w:rsidRDefault="00504A83" w:rsidP="00504A83">
      <w:pPr>
        <w:widowControl w:val="0"/>
        <w:spacing w:after="0" w:line="240" w:lineRule="auto"/>
        <w:rPr>
          <w:rFonts w:cstheme="minorHAnsi"/>
        </w:rPr>
      </w:pPr>
    </w:p>
    <w:p w:rsidR="00E90718" w:rsidRPr="00EB0718" w:rsidRDefault="00E90718" w:rsidP="00EB0718">
      <w:pPr>
        <w:pStyle w:val="ListParagraph"/>
        <w:widowControl w:val="0"/>
        <w:numPr>
          <w:ilvl w:val="0"/>
          <w:numId w:val="11"/>
        </w:numPr>
        <w:spacing w:after="0" w:line="240" w:lineRule="auto"/>
        <w:rPr>
          <w:rFonts w:cstheme="minorHAnsi"/>
        </w:rPr>
      </w:pPr>
      <w:r w:rsidRPr="00EB0718">
        <w:rPr>
          <w:rFonts w:cstheme="minorHAnsi"/>
        </w:rPr>
        <w:t>Compare assessor decisions to ensure they are consistent</w:t>
      </w:r>
      <w:r w:rsidR="00EB0718">
        <w:rPr>
          <w:rFonts w:cstheme="minorHAnsi"/>
        </w:rPr>
        <w:t>.</w:t>
      </w:r>
    </w:p>
    <w:p w:rsidR="00EA3604" w:rsidRDefault="00EA3604" w:rsidP="00504A83">
      <w:pPr>
        <w:widowControl w:val="0"/>
        <w:spacing w:after="0" w:line="240" w:lineRule="auto"/>
        <w:rPr>
          <w:rFonts w:cstheme="minorHAnsi"/>
        </w:rPr>
      </w:pPr>
    </w:p>
    <w:p w:rsidR="00EA3604" w:rsidRDefault="00EA3604" w:rsidP="00EB0718">
      <w:pPr>
        <w:pStyle w:val="ListParagraph"/>
        <w:numPr>
          <w:ilvl w:val="0"/>
          <w:numId w:val="11"/>
        </w:numPr>
        <w:spacing w:line="240" w:lineRule="auto"/>
        <w:rPr>
          <w:rFonts w:cstheme="minorHAnsi"/>
        </w:rPr>
      </w:pPr>
      <w:r w:rsidRPr="00EB0718">
        <w:rPr>
          <w:rFonts w:cstheme="minorHAnsi"/>
        </w:rPr>
        <w:t xml:space="preserve">Provide assessors with documented feedback, advice and support, including professional development opportunities, which help them to maintain and improve the quality of assessment. This should be recorded on the IMIAL form </w:t>
      </w:r>
      <w:r w:rsidR="004D1558">
        <w:rPr>
          <w:rFonts w:cstheme="minorHAnsi"/>
        </w:rPr>
        <w:t>28</w:t>
      </w:r>
      <w:r w:rsidRPr="00EB0718">
        <w:rPr>
          <w:rFonts w:cstheme="minorHAnsi"/>
        </w:rPr>
        <w:t xml:space="preserve"> </w:t>
      </w:r>
      <w:r w:rsidR="000B299F" w:rsidRPr="00EB0718">
        <w:rPr>
          <w:rFonts w:cstheme="minorHAnsi"/>
        </w:rPr>
        <w:t xml:space="preserve">combined and </w:t>
      </w:r>
      <w:r w:rsidRPr="00EB0718">
        <w:rPr>
          <w:rFonts w:cstheme="minorHAnsi"/>
        </w:rPr>
        <w:t xml:space="preserve">where appropriate through the </w:t>
      </w:r>
      <w:proofErr w:type="spellStart"/>
      <w:r w:rsidRPr="00EB0718">
        <w:rPr>
          <w:rFonts w:cstheme="minorHAnsi"/>
        </w:rPr>
        <w:t>mi</w:t>
      </w:r>
      <w:r w:rsidR="00EB0718">
        <w:rPr>
          <w:rFonts w:cstheme="minorHAnsi"/>
        </w:rPr>
        <w:t>nuted</w:t>
      </w:r>
      <w:proofErr w:type="spellEnd"/>
      <w:r w:rsidR="00EB0718">
        <w:rPr>
          <w:rFonts w:cstheme="minorHAnsi"/>
        </w:rPr>
        <w:t xml:space="preserve"> standardisation meetings.</w:t>
      </w:r>
    </w:p>
    <w:p w:rsidR="00EB0718" w:rsidRPr="00EB0718" w:rsidRDefault="00EB0718" w:rsidP="00EB0718">
      <w:pPr>
        <w:pStyle w:val="ListParagraph"/>
        <w:rPr>
          <w:rFonts w:cstheme="minorHAnsi"/>
        </w:rPr>
      </w:pPr>
    </w:p>
    <w:p w:rsidR="00EB0718" w:rsidRDefault="00EA3604" w:rsidP="00EB0718">
      <w:pPr>
        <w:pStyle w:val="ListParagraph"/>
        <w:numPr>
          <w:ilvl w:val="0"/>
          <w:numId w:val="11"/>
        </w:numPr>
        <w:spacing w:line="240" w:lineRule="auto"/>
        <w:rPr>
          <w:rFonts w:cstheme="minorHAnsi"/>
        </w:rPr>
      </w:pPr>
      <w:r w:rsidRPr="00EB0718">
        <w:rPr>
          <w:rFonts w:cstheme="minorHAnsi"/>
        </w:rPr>
        <w:t>Apply procedures to standardise assessment practices and outcomes</w:t>
      </w:r>
      <w:r w:rsidR="00EB0718">
        <w:rPr>
          <w:rFonts w:cstheme="minorHAnsi"/>
        </w:rPr>
        <w:t>.</w:t>
      </w:r>
    </w:p>
    <w:p w:rsidR="00EB0718" w:rsidRPr="00EB0718" w:rsidRDefault="00EB0718" w:rsidP="00EB0718">
      <w:pPr>
        <w:pStyle w:val="ListParagraph"/>
        <w:rPr>
          <w:rFonts w:ascii="Arial" w:hAnsi="Arial" w:cs="Arial"/>
        </w:rPr>
      </w:pPr>
    </w:p>
    <w:p w:rsidR="00EA3604" w:rsidRPr="00EB0718" w:rsidRDefault="00EA3604" w:rsidP="00EB0718">
      <w:pPr>
        <w:pStyle w:val="ListParagraph"/>
        <w:widowControl w:val="0"/>
        <w:numPr>
          <w:ilvl w:val="0"/>
          <w:numId w:val="11"/>
        </w:numPr>
        <w:spacing w:after="0" w:line="240" w:lineRule="auto"/>
        <w:rPr>
          <w:rFonts w:cstheme="minorHAnsi"/>
        </w:rPr>
      </w:pPr>
      <w:r w:rsidRPr="00EB0718">
        <w:rPr>
          <w:rFonts w:cstheme="minorHAnsi"/>
        </w:rPr>
        <w:t>Critically reflect on own practice in internally assuring the quality of assessment</w:t>
      </w:r>
      <w:r w:rsidR="00EB0718" w:rsidRPr="00EB0718">
        <w:rPr>
          <w:rFonts w:cstheme="minorHAnsi"/>
        </w:rPr>
        <w:t>.</w:t>
      </w:r>
    </w:p>
    <w:p w:rsidR="00EA3604" w:rsidRDefault="00EA3604" w:rsidP="00504A83">
      <w:pPr>
        <w:widowControl w:val="0"/>
        <w:spacing w:after="0" w:line="240" w:lineRule="auto"/>
        <w:rPr>
          <w:rFonts w:cstheme="minorHAnsi"/>
        </w:rPr>
      </w:pPr>
    </w:p>
    <w:p w:rsidR="00EA3604" w:rsidRDefault="00EA3604" w:rsidP="00EB0718">
      <w:pPr>
        <w:pStyle w:val="ListParagraph"/>
        <w:numPr>
          <w:ilvl w:val="0"/>
          <w:numId w:val="11"/>
        </w:numPr>
        <w:spacing w:line="240" w:lineRule="auto"/>
        <w:rPr>
          <w:rFonts w:cstheme="minorHAnsi"/>
        </w:rPr>
      </w:pPr>
      <w:r w:rsidRPr="00EB0718">
        <w:rPr>
          <w:rFonts w:cstheme="minorHAnsi"/>
        </w:rPr>
        <w:t>Maintain the currency of own expertise and competence in internal assuring the quality of assurance</w:t>
      </w:r>
      <w:r w:rsidR="00EB0718" w:rsidRPr="00EB0718">
        <w:rPr>
          <w:rFonts w:cstheme="minorHAnsi"/>
        </w:rPr>
        <w:t>.</w:t>
      </w:r>
    </w:p>
    <w:p w:rsidR="00EB0718" w:rsidRPr="00EB0718" w:rsidRDefault="00EB0718" w:rsidP="00EB0718">
      <w:pPr>
        <w:pStyle w:val="ListParagraph"/>
        <w:rPr>
          <w:rFonts w:cstheme="minorHAnsi"/>
        </w:rPr>
      </w:pPr>
    </w:p>
    <w:p w:rsidR="00E90718" w:rsidRDefault="00E90718" w:rsidP="00EB0718">
      <w:pPr>
        <w:pStyle w:val="ListParagraph"/>
        <w:widowControl w:val="0"/>
        <w:numPr>
          <w:ilvl w:val="0"/>
          <w:numId w:val="11"/>
        </w:numPr>
        <w:tabs>
          <w:tab w:val="num" w:pos="574"/>
        </w:tabs>
        <w:spacing w:after="0" w:line="240" w:lineRule="auto"/>
        <w:rPr>
          <w:rFonts w:cstheme="minorHAnsi"/>
        </w:rPr>
      </w:pPr>
      <w:r w:rsidRPr="00EB0718">
        <w:rPr>
          <w:rFonts w:cstheme="minorHAnsi"/>
        </w:rPr>
        <w:t>Ensure procedures for recording, storing, reporting information relating to internal quality assurance are followed</w:t>
      </w:r>
      <w:r w:rsidR="00EB0718">
        <w:rPr>
          <w:rFonts w:cstheme="minorHAnsi"/>
        </w:rPr>
        <w:t>.</w:t>
      </w:r>
    </w:p>
    <w:p w:rsidR="00EB0718" w:rsidRPr="00EB0718" w:rsidRDefault="00EB0718" w:rsidP="00EB0718">
      <w:pPr>
        <w:pStyle w:val="ListParagraph"/>
        <w:rPr>
          <w:rFonts w:cstheme="minorHAnsi"/>
        </w:rPr>
      </w:pPr>
    </w:p>
    <w:p w:rsidR="00E90718" w:rsidRDefault="00E90718" w:rsidP="00EB0718">
      <w:pPr>
        <w:pStyle w:val="ListParagraph"/>
        <w:numPr>
          <w:ilvl w:val="0"/>
          <w:numId w:val="11"/>
        </w:numPr>
        <w:spacing w:line="240" w:lineRule="auto"/>
        <w:rPr>
          <w:rFonts w:cstheme="minorHAnsi"/>
        </w:rPr>
      </w:pPr>
      <w:r w:rsidRPr="00EB0718">
        <w:rPr>
          <w:rFonts w:cstheme="minorHAnsi"/>
        </w:rPr>
        <w:t>Apply procedures to maintain confidentiality of internal quality assurance information</w:t>
      </w:r>
      <w:r w:rsidR="000B299F" w:rsidRPr="00EB0718">
        <w:rPr>
          <w:rFonts w:cstheme="minorHAnsi"/>
        </w:rPr>
        <w:t xml:space="preserve"> to meet requirements for information management, data protection and confidentiality in relation to internal quality assurance of assessment. </w:t>
      </w:r>
    </w:p>
    <w:p w:rsidR="00EB0718" w:rsidRPr="00EB0718" w:rsidRDefault="00EB0718" w:rsidP="00EB0718">
      <w:pPr>
        <w:pStyle w:val="ListParagraph"/>
        <w:rPr>
          <w:rFonts w:cstheme="minorHAnsi"/>
        </w:rPr>
      </w:pPr>
    </w:p>
    <w:p w:rsidR="00291564" w:rsidRPr="00EB0718" w:rsidRDefault="00291564" w:rsidP="00EB0718">
      <w:pPr>
        <w:pStyle w:val="ListParagraph"/>
        <w:numPr>
          <w:ilvl w:val="0"/>
          <w:numId w:val="11"/>
        </w:numPr>
        <w:spacing w:line="240" w:lineRule="auto"/>
        <w:rPr>
          <w:rFonts w:cstheme="minorHAnsi"/>
        </w:rPr>
      </w:pPr>
      <w:r w:rsidRPr="00EB0718">
        <w:rPr>
          <w:rFonts w:cstheme="minorHAnsi"/>
        </w:rPr>
        <w:t>Ensure completed qualifications presented for claim meet t</w:t>
      </w:r>
      <w:r w:rsidR="006F2EE2" w:rsidRPr="00EB0718">
        <w:rPr>
          <w:rFonts w:cstheme="minorHAnsi"/>
        </w:rPr>
        <w:t xml:space="preserve">he requirements of the assessment strategy and are of sufficient quality to be authorised for claim. </w:t>
      </w:r>
    </w:p>
    <w:p w:rsidR="00FF4856" w:rsidRPr="00D86748" w:rsidRDefault="00FF4856" w:rsidP="00504A83">
      <w:pPr>
        <w:spacing w:line="240" w:lineRule="auto"/>
        <w:rPr>
          <w:b/>
        </w:rPr>
      </w:pPr>
      <w:r w:rsidRPr="00D86748">
        <w:rPr>
          <w:b/>
        </w:rPr>
        <w:t>EXTERNAL VERIFIERS</w:t>
      </w:r>
      <w:r w:rsidR="00043131">
        <w:rPr>
          <w:b/>
        </w:rPr>
        <w:t xml:space="preserve"> (PPL)</w:t>
      </w:r>
      <w:r w:rsidRPr="00D86748">
        <w:rPr>
          <w:b/>
        </w:rPr>
        <w:t xml:space="preserve"> FOR THE CENTRE </w:t>
      </w:r>
    </w:p>
    <w:tbl>
      <w:tblPr>
        <w:tblStyle w:val="TableGrid"/>
        <w:tblW w:w="9180" w:type="dxa"/>
        <w:tblLayout w:type="fixed"/>
        <w:tblLook w:val="04A0"/>
      </w:tblPr>
      <w:tblGrid>
        <w:gridCol w:w="2428"/>
        <w:gridCol w:w="817"/>
        <w:gridCol w:w="801"/>
        <w:gridCol w:w="847"/>
        <w:gridCol w:w="985"/>
        <w:gridCol w:w="988"/>
        <w:gridCol w:w="1322"/>
        <w:gridCol w:w="992"/>
      </w:tblGrid>
      <w:tr w:rsidR="00FF4856" w:rsidTr="00303CBF">
        <w:tc>
          <w:tcPr>
            <w:tcW w:w="2428" w:type="dxa"/>
            <w:vMerge w:val="restart"/>
          </w:tcPr>
          <w:p w:rsidR="00FF4856" w:rsidRDefault="00FF4856" w:rsidP="00504A83">
            <w:r>
              <w:t>Name</w:t>
            </w:r>
          </w:p>
          <w:p w:rsidR="00FF4856" w:rsidRDefault="00FF4856" w:rsidP="00504A83"/>
        </w:tc>
        <w:tc>
          <w:tcPr>
            <w:tcW w:w="6752" w:type="dxa"/>
            <w:gridSpan w:val="7"/>
            <w:vAlign w:val="center"/>
          </w:tcPr>
          <w:p w:rsidR="00FF4856" w:rsidRDefault="00FF4856" w:rsidP="00504A83">
            <w:pPr>
              <w:jc w:val="center"/>
            </w:pPr>
            <w:r>
              <w:t xml:space="preserve">Qualifications / Accreditations Verified or moderated </w:t>
            </w:r>
          </w:p>
        </w:tc>
      </w:tr>
      <w:tr w:rsidR="00303CBF" w:rsidTr="00303CBF">
        <w:tc>
          <w:tcPr>
            <w:tcW w:w="2428" w:type="dxa"/>
            <w:vMerge/>
          </w:tcPr>
          <w:p w:rsidR="00303CBF" w:rsidRDefault="00303CBF" w:rsidP="00504A83"/>
        </w:tc>
        <w:tc>
          <w:tcPr>
            <w:tcW w:w="817" w:type="dxa"/>
          </w:tcPr>
          <w:p w:rsidR="00303CBF" w:rsidRDefault="006A6017" w:rsidP="00504A83">
            <w:r>
              <w:t>VRQ</w:t>
            </w:r>
          </w:p>
        </w:tc>
        <w:tc>
          <w:tcPr>
            <w:tcW w:w="801" w:type="dxa"/>
          </w:tcPr>
          <w:p w:rsidR="00303CBF" w:rsidRDefault="006A6017" w:rsidP="00504A83">
            <w:r>
              <w:t>QAA</w:t>
            </w:r>
          </w:p>
        </w:tc>
        <w:tc>
          <w:tcPr>
            <w:tcW w:w="847" w:type="dxa"/>
          </w:tcPr>
          <w:p w:rsidR="00303CBF" w:rsidRDefault="00303CBF" w:rsidP="00504A83"/>
        </w:tc>
        <w:tc>
          <w:tcPr>
            <w:tcW w:w="985" w:type="dxa"/>
          </w:tcPr>
          <w:p w:rsidR="00303CBF" w:rsidRDefault="00303CBF" w:rsidP="00504A83"/>
        </w:tc>
        <w:tc>
          <w:tcPr>
            <w:tcW w:w="988" w:type="dxa"/>
          </w:tcPr>
          <w:p w:rsidR="00303CBF" w:rsidRDefault="00303CBF" w:rsidP="00504A83"/>
        </w:tc>
        <w:tc>
          <w:tcPr>
            <w:tcW w:w="1322" w:type="dxa"/>
          </w:tcPr>
          <w:p w:rsidR="00303CBF" w:rsidRDefault="00303CBF" w:rsidP="00504A83"/>
        </w:tc>
        <w:tc>
          <w:tcPr>
            <w:tcW w:w="992" w:type="dxa"/>
          </w:tcPr>
          <w:p w:rsidR="00303CBF" w:rsidRDefault="00303CBF" w:rsidP="00303CBF"/>
        </w:tc>
      </w:tr>
      <w:tr w:rsidR="00303CBF" w:rsidTr="00303CBF">
        <w:tc>
          <w:tcPr>
            <w:tcW w:w="2428" w:type="dxa"/>
          </w:tcPr>
          <w:p w:rsidR="00303CBF" w:rsidRDefault="00415641" w:rsidP="00504A83">
            <w:r>
              <w:t>Mark Bartle</w:t>
            </w:r>
          </w:p>
        </w:tc>
        <w:tc>
          <w:tcPr>
            <w:tcW w:w="817" w:type="dxa"/>
          </w:tcPr>
          <w:p w:rsidR="00303CBF" w:rsidRDefault="00303CBF" w:rsidP="00504A83"/>
        </w:tc>
        <w:tc>
          <w:tcPr>
            <w:tcW w:w="801" w:type="dxa"/>
          </w:tcPr>
          <w:p w:rsidR="00303CBF" w:rsidRDefault="00303CBF" w:rsidP="00504A83"/>
        </w:tc>
        <w:tc>
          <w:tcPr>
            <w:tcW w:w="847" w:type="dxa"/>
          </w:tcPr>
          <w:p w:rsidR="00303CBF" w:rsidRDefault="00303CBF" w:rsidP="00504A83"/>
        </w:tc>
        <w:tc>
          <w:tcPr>
            <w:tcW w:w="985" w:type="dxa"/>
          </w:tcPr>
          <w:p w:rsidR="00303CBF" w:rsidRDefault="00303CBF" w:rsidP="00504A83"/>
        </w:tc>
        <w:tc>
          <w:tcPr>
            <w:tcW w:w="988" w:type="dxa"/>
          </w:tcPr>
          <w:p w:rsidR="00303CBF" w:rsidRDefault="00303CBF" w:rsidP="00504A83"/>
        </w:tc>
        <w:tc>
          <w:tcPr>
            <w:tcW w:w="1322" w:type="dxa"/>
          </w:tcPr>
          <w:p w:rsidR="00303CBF" w:rsidRDefault="00303CBF" w:rsidP="00504A83"/>
        </w:tc>
        <w:tc>
          <w:tcPr>
            <w:tcW w:w="992" w:type="dxa"/>
          </w:tcPr>
          <w:p w:rsidR="00303CBF" w:rsidRDefault="00303CBF" w:rsidP="00504A83"/>
        </w:tc>
      </w:tr>
      <w:tr w:rsidR="00303CBF" w:rsidTr="00303CBF">
        <w:tc>
          <w:tcPr>
            <w:tcW w:w="2428" w:type="dxa"/>
          </w:tcPr>
          <w:p w:rsidR="00303CBF" w:rsidRDefault="00303CBF" w:rsidP="00504A83"/>
        </w:tc>
        <w:tc>
          <w:tcPr>
            <w:tcW w:w="817" w:type="dxa"/>
          </w:tcPr>
          <w:p w:rsidR="00303CBF" w:rsidRDefault="00303CBF" w:rsidP="00504A83"/>
        </w:tc>
        <w:tc>
          <w:tcPr>
            <w:tcW w:w="801" w:type="dxa"/>
          </w:tcPr>
          <w:p w:rsidR="00303CBF" w:rsidRDefault="00303CBF" w:rsidP="00504A83"/>
        </w:tc>
        <w:tc>
          <w:tcPr>
            <w:tcW w:w="847" w:type="dxa"/>
          </w:tcPr>
          <w:p w:rsidR="00303CBF" w:rsidRDefault="00303CBF" w:rsidP="00504A83"/>
        </w:tc>
        <w:tc>
          <w:tcPr>
            <w:tcW w:w="985" w:type="dxa"/>
          </w:tcPr>
          <w:p w:rsidR="00303CBF" w:rsidRDefault="00303CBF" w:rsidP="00504A83"/>
        </w:tc>
        <w:tc>
          <w:tcPr>
            <w:tcW w:w="988" w:type="dxa"/>
          </w:tcPr>
          <w:p w:rsidR="00303CBF" w:rsidRDefault="00303CBF" w:rsidP="00504A83"/>
        </w:tc>
        <w:tc>
          <w:tcPr>
            <w:tcW w:w="1322" w:type="dxa"/>
          </w:tcPr>
          <w:p w:rsidR="00303CBF" w:rsidRDefault="00303CBF" w:rsidP="00504A83"/>
        </w:tc>
        <w:tc>
          <w:tcPr>
            <w:tcW w:w="992" w:type="dxa"/>
          </w:tcPr>
          <w:p w:rsidR="00303CBF" w:rsidRDefault="00303CBF" w:rsidP="00504A83"/>
        </w:tc>
      </w:tr>
    </w:tbl>
    <w:p w:rsidR="00504A83" w:rsidRDefault="00504A83" w:rsidP="00504A83">
      <w:pPr>
        <w:spacing w:line="240" w:lineRule="auto"/>
      </w:pPr>
    </w:p>
    <w:p w:rsidR="00D86748" w:rsidRPr="00303CBF" w:rsidRDefault="00D86748" w:rsidP="00504A83">
      <w:pPr>
        <w:spacing w:line="240" w:lineRule="auto"/>
        <w:rPr>
          <w:b/>
          <w:u w:val="single"/>
        </w:rPr>
      </w:pPr>
      <w:r>
        <w:t xml:space="preserve">External Verifiers will </w:t>
      </w:r>
      <w:r w:rsidR="00155ADB">
        <w:t xml:space="preserve">normally </w:t>
      </w:r>
      <w:r>
        <w:t xml:space="preserve">carry out monitoring activity at the centre twice a year and can be contacted by the centre co-ordinator at any time. </w:t>
      </w:r>
      <w:r w:rsidR="00B11F76" w:rsidRPr="00EB0718">
        <w:rPr>
          <w:b/>
        </w:rPr>
        <w:t>Assessors / Verifiers wishing to contact the centre’s EV should do so via their centre co-ordinator.</w:t>
      </w:r>
      <w:r w:rsidR="00B11F76" w:rsidRPr="00B11F76">
        <w:rPr>
          <w:b/>
          <w:u w:val="single"/>
        </w:rPr>
        <w:t xml:space="preserve"> </w:t>
      </w:r>
    </w:p>
    <w:p w:rsidR="00E90718" w:rsidRPr="00504A83" w:rsidRDefault="00E90718" w:rsidP="00504A83">
      <w:pPr>
        <w:spacing w:line="240" w:lineRule="auto"/>
        <w:rPr>
          <w:b/>
        </w:rPr>
      </w:pPr>
      <w:r w:rsidRPr="00504A83">
        <w:rPr>
          <w:b/>
        </w:rPr>
        <w:t xml:space="preserve">DISPUTES ABOUT THE QUALITY OF ASSESSMENT </w:t>
      </w:r>
    </w:p>
    <w:p w:rsidR="006F59C0" w:rsidRDefault="00E90718" w:rsidP="00504A83">
      <w:pPr>
        <w:spacing w:line="240" w:lineRule="auto"/>
      </w:pPr>
      <w:r>
        <w:t xml:space="preserve">In instances where there are disputes </w:t>
      </w:r>
      <w:r w:rsidR="00155ADB">
        <w:t>with</w:t>
      </w:r>
      <w:r>
        <w:t xml:space="preserve"> regard to the quality of assessment</w:t>
      </w:r>
      <w:r w:rsidR="00155ADB">
        <w:t>. T</w:t>
      </w:r>
      <w:r>
        <w:t xml:space="preserve">he Centre Co-ordinator should record any agreed outcomes and </w:t>
      </w:r>
      <w:r w:rsidR="00303CBF">
        <w:t xml:space="preserve">if necessary consult with </w:t>
      </w:r>
      <w:r>
        <w:t>the IMI Awards External Verifier for</w:t>
      </w:r>
      <w:r w:rsidR="00155ADB">
        <w:t xml:space="preserve"> </w:t>
      </w:r>
      <w:r w:rsidR="00303CBF">
        <w:t xml:space="preserve">advice and </w:t>
      </w:r>
      <w:r>
        <w:t>guidance</w:t>
      </w:r>
      <w:r w:rsidR="00303CBF">
        <w:t>.</w:t>
      </w:r>
      <w:r w:rsidR="006F59C0">
        <w:t>.</w:t>
      </w:r>
    </w:p>
    <w:p w:rsidR="00E90718" w:rsidRPr="00504A83" w:rsidRDefault="00E90718" w:rsidP="00504A83">
      <w:pPr>
        <w:spacing w:line="240" w:lineRule="auto"/>
        <w:rPr>
          <w:b/>
        </w:rPr>
      </w:pPr>
      <w:r w:rsidRPr="00504A83">
        <w:rPr>
          <w:b/>
        </w:rPr>
        <w:t xml:space="preserve">STANDARDISATION MEETINGS (FOR ASSESSORS AND IV) </w:t>
      </w:r>
    </w:p>
    <w:p w:rsidR="00E90718" w:rsidRDefault="00504A83" w:rsidP="00504A83">
      <w:pPr>
        <w:spacing w:line="240" w:lineRule="auto"/>
      </w:pPr>
      <w:r>
        <w:t>Standardisation meeting</w:t>
      </w:r>
      <w:r w:rsidR="00C30927">
        <w:t>s</w:t>
      </w:r>
      <w:r>
        <w:t xml:space="preserve"> will be held on the </w:t>
      </w:r>
      <w:r w:rsidR="00155ADB" w:rsidRPr="00155ADB">
        <w:rPr>
          <w:color w:val="00B0F0"/>
        </w:rPr>
        <w:t>(DATE TO BE ENTERED HERE)</w:t>
      </w:r>
      <w:r>
        <w:t xml:space="preserve"> and the </w:t>
      </w:r>
      <w:r w:rsidR="00155ADB" w:rsidRPr="00155ADB">
        <w:rPr>
          <w:color w:val="00B0F0"/>
        </w:rPr>
        <w:t>(DATE TO BE ENTERED HERE)</w:t>
      </w:r>
      <w:r>
        <w:t xml:space="preserve">. The meetings will be minuted and record </w:t>
      </w:r>
      <w:r w:rsidR="00C30927">
        <w:t xml:space="preserve">the </w:t>
      </w:r>
      <w:r>
        <w:t xml:space="preserve">procedures for applying standardisation of assessment </w:t>
      </w:r>
      <w:r w:rsidR="00EB0718">
        <w:t>and verification.</w:t>
      </w:r>
      <w:r>
        <w:t xml:space="preserve"> </w:t>
      </w:r>
    </w:p>
    <w:p w:rsidR="00504A83" w:rsidRPr="00504A83" w:rsidRDefault="00266129" w:rsidP="00504A83">
      <w:pPr>
        <w:spacing w:line="240" w:lineRule="auto"/>
        <w:rPr>
          <w:b/>
        </w:rPr>
      </w:pPr>
      <w:r w:rsidRPr="00504A83">
        <w:rPr>
          <w:b/>
        </w:rPr>
        <w:t>REVIEW OF</w:t>
      </w:r>
      <w:r w:rsidR="00D76403" w:rsidRPr="00504A83">
        <w:rPr>
          <w:b/>
        </w:rPr>
        <w:t xml:space="preserve"> </w:t>
      </w:r>
      <w:r w:rsidRPr="00504A83">
        <w:rPr>
          <w:b/>
        </w:rPr>
        <w:t xml:space="preserve">STRATEGY </w:t>
      </w:r>
    </w:p>
    <w:p w:rsidR="00504A83" w:rsidRDefault="00155ADB" w:rsidP="00504A83">
      <w:pPr>
        <w:spacing w:line="240" w:lineRule="auto"/>
      </w:pPr>
      <w:r>
        <w:t xml:space="preserve">The annual review of the Internal Verification Strategy will </w:t>
      </w:r>
      <w:r w:rsidR="00504A83">
        <w:t>be undertaken by the Centre Co-ordinator</w:t>
      </w:r>
      <w:r>
        <w:t xml:space="preserve"> on the </w:t>
      </w:r>
      <w:r w:rsidRPr="00155ADB">
        <w:rPr>
          <w:color w:val="00B0F0"/>
        </w:rPr>
        <w:t>(DATE TO BE ENTERED HERE)</w:t>
      </w:r>
      <w:r>
        <w:t xml:space="preserve"> with a revised strategy implemented. Copies of the strategy for each year will be retained by the centre for </w:t>
      </w:r>
      <w:r w:rsidR="00C471F8">
        <w:t>5</w:t>
      </w:r>
      <w:r>
        <w:t xml:space="preserve"> years.</w:t>
      </w:r>
    </w:p>
    <w:sectPr w:rsidR="00504A83" w:rsidSect="00EE624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74" w:rsidRDefault="00977874" w:rsidP="007B26D7">
      <w:pPr>
        <w:spacing w:after="0" w:line="240" w:lineRule="auto"/>
      </w:pPr>
      <w:r>
        <w:separator/>
      </w:r>
    </w:p>
  </w:endnote>
  <w:endnote w:type="continuationSeparator" w:id="0">
    <w:p w:rsidR="00977874" w:rsidRDefault="00977874" w:rsidP="007B2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18" w:rsidRPr="00EB0718" w:rsidRDefault="00EB0718" w:rsidP="00EB0718">
    <w:pPr>
      <w:pStyle w:val="Footer"/>
      <w:jc w:val="right"/>
      <w:rPr>
        <w:sz w:val="16"/>
        <w:szCs w:val="16"/>
      </w:rPr>
    </w:pPr>
    <w:r>
      <w:rPr>
        <w:sz w:val="16"/>
        <w:szCs w:val="16"/>
      </w:rPr>
      <w:t>A&amp;V/IVS/FDv1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74" w:rsidRDefault="00977874" w:rsidP="007B26D7">
      <w:pPr>
        <w:spacing w:after="0" w:line="240" w:lineRule="auto"/>
      </w:pPr>
      <w:r>
        <w:separator/>
      </w:r>
    </w:p>
  </w:footnote>
  <w:footnote w:type="continuationSeparator" w:id="0">
    <w:p w:rsidR="00977874" w:rsidRDefault="00977874" w:rsidP="007B26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D7" w:rsidRPr="007B26D7" w:rsidRDefault="007B26D7" w:rsidP="007B26D7">
    <w:pPr>
      <w:pStyle w:val="Header"/>
      <w:jc w:val="center"/>
      <w:rPr>
        <w:b/>
        <w:sz w:val="32"/>
        <w:szCs w:val="32"/>
      </w:rPr>
    </w:pPr>
    <w:r w:rsidRPr="007B26D7">
      <w:rPr>
        <w:b/>
        <w:sz w:val="32"/>
        <w:szCs w:val="32"/>
      </w:rPr>
      <w:t>SAMPLE IV STRATEGY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BE9"/>
    <w:multiLevelType w:val="hybridMultilevel"/>
    <w:tmpl w:val="88D4D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0AB092F"/>
    <w:multiLevelType w:val="singleLevel"/>
    <w:tmpl w:val="DA9C4E8C"/>
    <w:lvl w:ilvl="0">
      <w:start w:val="1"/>
      <w:numFmt w:val="decimal"/>
      <w:pStyle w:val="1Knowindent"/>
      <w:lvlText w:val="%1."/>
      <w:lvlJc w:val="left"/>
      <w:pPr>
        <w:tabs>
          <w:tab w:val="num" w:pos="360"/>
        </w:tabs>
        <w:ind w:left="360" w:hanging="360"/>
      </w:pPr>
    </w:lvl>
  </w:abstractNum>
  <w:abstractNum w:abstractNumId="2">
    <w:nsid w:val="30F02544"/>
    <w:multiLevelType w:val="hybridMultilevel"/>
    <w:tmpl w:val="AF502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2900A7"/>
    <w:multiLevelType w:val="multilevel"/>
    <w:tmpl w:val="7BF0235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159633F"/>
    <w:multiLevelType w:val="multilevel"/>
    <w:tmpl w:val="85CED658"/>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2C86B8D"/>
    <w:multiLevelType w:val="multilevel"/>
    <w:tmpl w:val="84C277B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63F45F2"/>
    <w:multiLevelType w:val="singleLevel"/>
    <w:tmpl w:val="395A9AA8"/>
    <w:lvl w:ilvl="0">
      <w:start w:val="3"/>
      <w:numFmt w:val="decimal"/>
      <w:lvlText w:val="%1."/>
      <w:lvlJc w:val="left"/>
      <w:pPr>
        <w:tabs>
          <w:tab w:val="num" w:pos="720"/>
        </w:tabs>
        <w:ind w:left="720" w:hanging="720"/>
      </w:pPr>
      <w:rPr>
        <w:rFonts w:hint="default"/>
      </w:rPr>
    </w:lvl>
  </w:abstractNum>
  <w:abstractNum w:abstractNumId="7">
    <w:nsid w:val="6D7165D2"/>
    <w:multiLevelType w:val="multilevel"/>
    <w:tmpl w:val="EDB275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95"/>
        </w:tabs>
        <w:ind w:left="395" w:hanging="360"/>
      </w:pPr>
      <w:rPr>
        <w:rFonts w:hint="default"/>
      </w:rPr>
    </w:lvl>
    <w:lvl w:ilvl="2">
      <w:start w:val="1"/>
      <w:numFmt w:val="decimal"/>
      <w:lvlText w:val="%1.%2.%3."/>
      <w:lvlJc w:val="left"/>
      <w:pPr>
        <w:tabs>
          <w:tab w:val="num" w:pos="790"/>
        </w:tabs>
        <w:ind w:left="790" w:hanging="720"/>
      </w:pPr>
      <w:rPr>
        <w:rFonts w:hint="default"/>
      </w:rPr>
    </w:lvl>
    <w:lvl w:ilvl="3">
      <w:start w:val="1"/>
      <w:numFmt w:val="decimal"/>
      <w:lvlText w:val="%1.%2.%3.%4."/>
      <w:lvlJc w:val="left"/>
      <w:pPr>
        <w:tabs>
          <w:tab w:val="num" w:pos="825"/>
        </w:tabs>
        <w:ind w:left="825" w:hanging="720"/>
      </w:pPr>
      <w:rPr>
        <w:rFonts w:hint="default"/>
      </w:rPr>
    </w:lvl>
    <w:lvl w:ilvl="4">
      <w:start w:val="1"/>
      <w:numFmt w:val="decimal"/>
      <w:lvlText w:val="%1.%2.%3.%4.%5."/>
      <w:lvlJc w:val="left"/>
      <w:pPr>
        <w:tabs>
          <w:tab w:val="num" w:pos="1220"/>
        </w:tabs>
        <w:ind w:left="1220" w:hanging="1080"/>
      </w:pPr>
      <w:rPr>
        <w:rFonts w:hint="default"/>
      </w:rPr>
    </w:lvl>
    <w:lvl w:ilvl="5">
      <w:start w:val="1"/>
      <w:numFmt w:val="decimal"/>
      <w:lvlText w:val="%1.%2.%3.%4.%5.%6."/>
      <w:lvlJc w:val="left"/>
      <w:pPr>
        <w:tabs>
          <w:tab w:val="num" w:pos="1255"/>
        </w:tabs>
        <w:ind w:left="1255" w:hanging="1080"/>
      </w:pPr>
      <w:rPr>
        <w:rFonts w:hint="default"/>
      </w:rPr>
    </w:lvl>
    <w:lvl w:ilvl="6">
      <w:start w:val="1"/>
      <w:numFmt w:val="decimal"/>
      <w:lvlText w:val="%1.%2.%3.%4.%5.%6.%7."/>
      <w:lvlJc w:val="left"/>
      <w:pPr>
        <w:tabs>
          <w:tab w:val="num" w:pos="1650"/>
        </w:tabs>
        <w:ind w:left="1650" w:hanging="1440"/>
      </w:pPr>
      <w:rPr>
        <w:rFonts w:hint="default"/>
      </w:rPr>
    </w:lvl>
    <w:lvl w:ilvl="7">
      <w:start w:val="1"/>
      <w:numFmt w:val="decimal"/>
      <w:lvlText w:val="%1.%2.%3.%4.%5.%6.%7.%8."/>
      <w:lvlJc w:val="left"/>
      <w:pPr>
        <w:tabs>
          <w:tab w:val="num" w:pos="1685"/>
        </w:tabs>
        <w:ind w:left="1685" w:hanging="1440"/>
      </w:pPr>
      <w:rPr>
        <w:rFonts w:hint="default"/>
      </w:rPr>
    </w:lvl>
    <w:lvl w:ilvl="8">
      <w:start w:val="1"/>
      <w:numFmt w:val="decimal"/>
      <w:lvlText w:val="%1.%2.%3.%4.%5.%6.%7.%8.%9."/>
      <w:lvlJc w:val="left"/>
      <w:pPr>
        <w:tabs>
          <w:tab w:val="num" w:pos="2080"/>
        </w:tabs>
        <w:ind w:left="2080" w:hanging="1800"/>
      </w:pPr>
      <w:rPr>
        <w:rFonts w:hint="default"/>
      </w:rPr>
    </w:lvl>
  </w:abstractNum>
  <w:abstractNum w:abstractNumId="8">
    <w:nsid w:val="733335DD"/>
    <w:multiLevelType w:val="hybridMultilevel"/>
    <w:tmpl w:val="B70CE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47F0DE8"/>
    <w:multiLevelType w:val="hybridMultilevel"/>
    <w:tmpl w:val="5FDC0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7C79B8"/>
    <w:multiLevelType w:val="multilevel"/>
    <w:tmpl w:val="D1867A2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95"/>
        </w:tabs>
        <w:ind w:left="395" w:hanging="360"/>
      </w:pPr>
      <w:rPr>
        <w:rFonts w:hint="default"/>
      </w:rPr>
    </w:lvl>
    <w:lvl w:ilvl="2">
      <w:start w:val="1"/>
      <w:numFmt w:val="decimal"/>
      <w:lvlText w:val="%1.%2.%3."/>
      <w:lvlJc w:val="left"/>
      <w:pPr>
        <w:tabs>
          <w:tab w:val="num" w:pos="790"/>
        </w:tabs>
        <w:ind w:left="790" w:hanging="720"/>
      </w:pPr>
      <w:rPr>
        <w:rFonts w:hint="default"/>
      </w:rPr>
    </w:lvl>
    <w:lvl w:ilvl="3">
      <w:start w:val="1"/>
      <w:numFmt w:val="decimal"/>
      <w:lvlText w:val="%1.%2.%3.%4."/>
      <w:lvlJc w:val="left"/>
      <w:pPr>
        <w:tabs>
          <w:tab w:val="num" w:pos="825"/>
        </w:tabs>
        <w:ind w:left="825" w:hanging="720"/>
      </w:pPr>
      <w:rPr>
        <w:rFonts w:hint="default"/>
      </w:rPr>
    </w:lvl>
    <w:lvl w:ilvl="4">
      <w:start w:val="1"/>
      <w:numFmt w:val="decimal"/>
      <w:lvlText w:val="%1.%2.%3.%4.%5."/>
      <w:lvlJc w:val="left"/>
      <w:pPr>
        <w:tabs>
          <w:tab w:val="num" w:pos="1220"/>
        </w:tabs>
        <w:ind w:left="1220" w:hanging="1080"/>
      </w:pPr>
      <w:rPr>
        <w:rFonts w:hint="default"/>
      </w:rPr>
    </w:lvl>
    <w:lvl w:ilvl="5">
      <w:start w:val="1"/>
      <w:numFmt w:val="decimal"/>
      <w:lvlText w:val="%1.%2.%3.%4.%5.%6."/>
      <w:lvlJc w:val="left"/>
      <w:pPr>
        <w:tabs>
          <w:tab w:val="num" w:pos="1255"/>
        </w:tabs>
        <w:ind w:left="1255" w:hanging="1080"/>
      </w:pPr>
      <w:rPr>
        <w:rFonts w:hint="default"/>
      </w:rPr>
    </w:lvl>
    <w:lvl w:ilvl="6">
      <w:start w:val="1"/>
      <w:numFmt w:val="decimal"/>
      <w:lvlText w:val="%1.%2.%3.%4.%5.%6.%7."/>
      <w:lvlJc w:val="left"/>
      <w:pPr>
        <w:tabs>
          <w:tab w:val="num" w:pos="1650"/>
        </w:tabs>
        <w:ind w:left="1650" w:hanging="1440"/>
      </w:pPr>
      <w:rPr>
        <w:rFonts w:hint="default"/>
      </w:rPr>
    </w:lvl>
    <w:lvl w:ilvl="7">
      <w:start w:val="1"/>
      <w:numFmt w:val="decimal"/>
      <w:lvlText w:val="%1.%2.%3.%4.%5.%6.%7.%8."/>
      <w:lvlJc w:val="left"/>
      <w:pPr>
        <w:tabs>
          <w:tab w:val="num" w:pos="1685"/>
        </w:tabs>
        <w:ind w:left="1685" w:hanging="1440"/>
      </w:pPr>
      <w:rPr>
        <w:rFonts w:hint="default"/>
      </w:rPr>
    </w:lvl>
    <w:lvl w:ilvl="8">
      <w:start w:val="1"/>
      <w:numFmt w:val="decimal"/>
      <w:lvlText w:val="%1.%2.%3.%4.%5.%6.%7.%8.%9."/>
      <w:lvlJc w:val="left"/>
      <w:pPr>
        <w:tabs>
          <w:tab w:val="num" w:pos="2080"/>
        </w:tabs>
        <w:ind w:left="2080" w:hanging="1800"/>
      </w:pPr>
      <w:rPr>
        <w:rFonts w:hint="default"/>
      </w:rPr>
    </w:lvl>
  </w:abstractNum>
  <w:num w:numId="1">
    <w:abstractNumId w:val="2"/>
  </w:num>
  <w:num w:numId="2">
    <w:abstractNumId w:val="1"/>
  </w:num>
  <w:num w:numId="3">
    <w:abstractNumId w:val="9"/>
  </w:num>
  <w:num w:numId="4">
    <w:abstractNumId w:val="5"/>
  </w:num>
  <w:num w:numId="5">
    <w:abstractNumId w:val="10"/>
  </w:num>
  <w:num w:numId="6">
    <w:abstractNumId w:val="3"/>
  </w:num>
  <w:num w:numId="7">
    <w:abstractNumId w:val="6"/>
  </w:num>
  <w:num w:numId="8">
    <w:abstractNumId w:val="4"/>
  </w:num>
  <w:num w:numId="9">
    <w:abstractNumId w:val="7"/>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1"/>
    <w:footnote w:id="0"/>
  </w:footnotePr>
  <w:endnotePr>
    <w:endnote w:id="-1"/>
    <w:endnote w:id="0"/>
  </w:endnotePr>
  <w:compat/>
  <w:rsids>
    <w:rsidRoot w:val="00266129"/>
    <w:rsid w:val="00025BB7"/>
    <w:rsid w:val="00043131"/>
    <w:rsid w:val="0005647C"/>
    <w:rsid w:val="000833FB"/>
    <w:rsid w:val="00094F3C"/>
    <w:rsid w:val="000B299F"/>
    <w:rsid w:val="00104EE6"/>
    <w:rsid w:val="00155ADB"/>
    <w:rsid w:val="001A221A"/>
    <w:rsid w:val="00266129"/>
    <w:rsid w:val="00285A3E"/>
    <w:rsid w:val="00290885"/>
    <w:rsid w:val="00291564"/>
    <w:rsid w:val="002E25A3"/>
    <w:rsid w:val="002E4377"/>
    <w:rsid w:val="00303CBF"/>
    <w:rsid w:val="003677E4"/>
    <w:rsid w:val="00394A6B"/>
    <w:rsid w:val="00401B9D"/>
    <w:rsid w:val="00415641"/>
    <w:rsid w:val="00471B1E"/>
    <w:rsid w:val="004B1EB6"/>
    <w:rsid w:val="004D1558"/>
    <w:rsid w:val="00504A83"/>
    <w:rsid w:val="0052345B"/>
    <w:rsid w:val="00562428"/>
    <w:rsid w:val="00571D3D"/>
    <w:rsid w:val="005D087B"/>
    <w:rsid w:val="00604DC5"/>
    <w:rsid w:val="00626B37"/>
    <w:rsid w:val="00661334"/>
    <w:rsid w:val="006A6017"/>
    <w:rsid w:val="006C313B"/>
    <w:rsid w:val="006F2EE2"/>
    <w:rsid w:val="006F59C0"/>
    <w:rsid w:val="007079D9"/>
    <w:rsid w:val="007843BF"/>
    <w:rsid w:val="007B26D7"/>
    <w:rsid w:val="007D1CF0"/>
    <w:rsid w:val="007E7EC7"/>
    <w:rsid w:val="00821BA1"/>
    <w:rsid w:val="0082628A"/>
    <w:rsid w:val="00850242"/>
    <w:rsid w:val="00863188"/>
    <w:rsid w:val="00867C15"/>
    <w:rsid w:val="00884DAE"/>
    <w:rsid w:val="008A2B7C"/>
    <w:rsid w:val="00904D2F"/>
    <w:rsid w:val="00906A51"/>
    <w:rsid w:val="00915567"/>
    <w:rsid w:val="009717FC"/>
    <w:rsid w:val="00977874"/>
    <w:rsid w:val="009916B8"/>
    <w:rsid w:val="009919B2"/>
    <w:rsid w:val="0099716D"/>
    <w:rsid w:val="00A344CC"/>
    <w:rsid w:val="00A611C8"/>
    <w:rsid w:val="00A71562"/>
    <w:rsid w:val="00AD1411"/>
    <w:rsid w:val="00B05A38"/>
    <w:rsid w:val="00B11F76"/>
    <w:rsid w:val="00B30AF4"/>
    <w:rsid w:val="00BD1034"/>
    <w:rsid w:val="00BD3033"/>
    <w:rsid w:val="00C07992"/>
    <w:rsid w:val="00C30927"/>
    <w:rsid w:val="00C4396D"/>
    <w:rsid w:val="00C471F8"/>
    <w:rsid w:val="00CD5014"/>
    <w:rsid w:val="00CF0D99"/>
    <w:rsid w:val="00D139B6"/>
    <w:rsid w:val="00D76403"/>
    <w:rsid w:val="00D86748"/>
    <w:rsid w:val="00DC0015"/>
    <w:rsid w:val="00E07A67"/>
    <w:rsid w:val="00E405C5"/>
    <w:rsid w:val="00E5203B"/>
    <w:rsid w:val="00E54C5C"/>
    <w:rsid w:val="00E5772A"/>
    <w:rsid w:val="00E90718"/>
    <w:rsid w:val="00E9485F"/>
    <w:rsid w:val="00EA3604"/>
    <w:rsid w:val="00EB0718"/>
    <w:rsid w:val="00EB773E"/>
    <w:rsid w:val="00EE6242"/>
    <w:rsid w:val="00F72B2A"/>
    <w:rsid w:val="00F8650E"/>
    <w:rsid w:val="00F9269D"/>
    <w:rsid w:val="00FD63BF"/>
    <w:rsid w:val="00FF48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29"/>
    <w:pPr>
      <w:ind w:left="720"/>
      <w:contextualSpacing/>
    </w:pPr>
  </w:style>
  <w:style w:type="paragraph" w:customStyle="1" w:styleId="1Knowindent">
    <w:name w:val="1 Know indent"/>
    <w:basedOn w:val="Normal"/>
    <w:rsid w:val="00BD3033"/>
    <w:pPr>
      <w:numPr>
        <w:numId w:val="2"/>
      </w:numPr>
      <w:spacing w:after="0" w:line="240" w:lineRule="auto"/>
    </w:pPr>
    <w:rPr>
      <w:rFonts w:ascii="Arial" w:eastAsia="Times New Roman" w:hAnsi="Arial" w:cs="Times New Roman"/>
      <w:sz w:val="20"/>
      <w:szCs w:val="20"/>
      <w:lang w:eastAsia="en-GB"/>
    </w:rPr>
  </w:style>
  <w:style w:type="paragraph" w:customStyle="1" w:styleId="TableText">
    <w:name w:val="Table Text"/>
    <w:basedOn w:val="Normal"/>
    <w:semiHidden/>
    <w:rsid w:val="00401B9D"/>
    <w:pPr>
      <w:spacing w:before="120" w:after="170" w:line="240" w:lineRule="atLeast"/>
    </w:pPr>
    <w:rPr>
      <w:rFonts w:ascii="Arial" w:eastAsia="Times New Roman" w:hAnsi="Arial" w:cs="Times New Roman"/>
      <w:sz w:val="20"/>
      <w:szCs w:val="20"/>
    </w:rPr>
  </w:style>
  <w:style w:type="table" w:styleId="TableGrid">
    <w:name w:val="Table Grid"/>
    <w:basedOn w:val="TableNormal"/>
    <w:uiPriority w:val="59"/>
    <w:rsid w:val="00B05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85"/>
    <w:rPr>
      <w:rFonts w:ascii="Tahoma" w:hAnsi="Tahoma" w:cs="Tahoma"/>
      <w:sz w:val="16"/>
      <w:szCs w:val="16"/>
    </w:rPr>
  </w:style>
  <w:style w:type="paragraph" w:styleId="Header">
    <w:name w:val="header"/>
    <w:basedOn w:val="Normal"/>
    <w:link w:val="HeaderChar"/>
    <w:uiPriority w:val="99"/>
    <w:semiHidden/>
    <w:unhideWhenUsed/>
    <w:rsid w:val="007B26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26D7"/>
  </w:style>
  <w:style w:type="paragraph" w:styleId="Footer">
    <w:name w:val="footer"/>
    <w:basedOn w:val="Normal"/>
    <w:link w:val="FooterChar"/>
    <w:uiPriority w:val="99"/>
    <w:semiHidden/>
    <w:unhideWhenUsed/>
    <w:rsid w:val="007B26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26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7597-9676-4B23-B6F1-3185EDD3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paulw</dc:creator>
  <cp:lastModifiedBy>markb</cp:lastModifiedBy>
  <cp:revision>18</cp:revision>
  <dcterms:created xsi:type="dcterms:W3CDTF">2012-01-04T16:55:00Z</dcterms:created>
  <dcterms:modified xsi:type="dcterms:W3CDTF">2013-05-23T07:39:00Z</dcterms:modified>
</cp:coreProperties>
</file>